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8459"/>
      </w:tblGrid>
      <w:tr w:rsidR="009B44CD" w:rsidRPr="009B44CD" w14:paraId="0353134E" w14:textId="77777777" w:rsidTr="00A859D6">
        <w:tc>
          <w:tcPr>
            <w:tcW w:w="9215" w:type="dxa"/>
            <w:gridSpan w:val="2"/>
          </w:tcPr>
          <w:p w14:paraId="2394176A" w14:textId="77777777" w:rsidR="004913F3" w:rsidRPr="009B44CD" w:rsidRDefault="004913F3" w:rsidP="00A859D6">
            <w:pPr>
              <w:widowControl/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9B44CD">
              <w:rPr>
                <w:rFonts w:ascii="標楷體" w:eastAsia="標楷體" w:hAnsi="標楷體" w:cs="Liberation Serif"/>
                <w:b/>
                <w:bCs/>
                <w:kern w:val="0"/>
                <w:sz w:val="40"/>
                <w:szCs w:val="40"/>
              </w:rPr>
              <w:t>109</w:t>
            </w:r>
            <w:r w:rsidRPr="009B44CD">
              <w:rPr>
                <w:rFonts w:ascii="標楷體" w:eastAsia="標楷體" w:hAnsi="標楷體" w:cs="Liberation Serif" w:hint="eastAsia"/>
                <w:b/>
                <w:bCs/>
                <w:kern w:val="0"/>
                <w:sz w:val="40"/>
                <w:szCs w:val="40"/>
              </w:rPr>
              <w:t>年度防貪指引暨私部門反貪研討議題</w:t>
            </w:r>
          </w:p>
        </w:tc>
      </w:tr>
      <w:tr w:rsidR="009B44CD" w:rsidRPr="009B44CD" w14:paraId="0D4945D9" w14:textId="77777777" w:rsidTr="00EE6044">
        <w:trPr>
          <w:trHeight w:val="525"/>
        </w:trPr>
        <w:tc>
          <w:tcPr>
            <w:tcW w:w="756" w:type="dxa"/>
            <w:vMerge w:val="restart"/>
          </w:tcPr>
          <w:p w14:paraId="251849FD" w14:textId="70D68481" w:rsidR="004913F3" w:rsidRPr="009B44CD" w:rsidRDefault="00EE6044" w:rsidP="00EE6044">
            <w:pPr>
              <w:jc w:val="center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instrText>eq \o\ac(</w:instrText>
            </w:r>
            <w:r w:rsidRPr="00EE6044">
              <w:rPr>
                <w:rFonts w:ascii="標楷體" w:eastAsia="標楷體" w:hAnsi="標楷體" w:cs="細明體" w:hint="eastAsia"/>
                <w:kern w:val="0"/>
                <w:position w:val="-7"/>
                <w:sz w:val="54"/>
                <w:szCs w:val="36"/>
              </w:rPr>
              <w:instrText>○</w:instrText>
            </w:r>
            <w:r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instrText>,一)</w:instrText>
            </w: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fldChar w:fldCharType="end"/>
            </w:r>
          </w:p>
          <w:p w14:paraId="246457F6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960D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工</w:t>
            </w:r>
          </w:p>
          <w:p w14:paraId="699CF79A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960D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程</w:t>
            </w:r>
          </w:p>
          <w:p w14:paraId="6682DBB8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960D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設</w:t>
            </w:r>
          </w:p>
          <w:p w14:paraId="2FDB40A9" w14:textId="45341F33" w:rsidR="004913F3" w:rsidRPr="006960D9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960D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計</w:t>
            </w:r>
          </w:p>
          <w:p w14:paraId="52B437BA" w14:textId="3BCFF6FF" w:rsidR="004913F3" w:rsidRPr="009B44CD" w:rsidRDefault="004913F3" w:rsidP="00A859D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59" w:type="dxa"/>
          </w:tcPr>
          <w:p w14:paraId="66CACDE2" w14:textId="77777777" w:rsidR="004913F3" w:rsidRPr="009B44CD" w:rsidRDefault="004913F3" w:rsidP="00A859D6">
            <w:pPr>
              <w:pStyle w:val="Default"/>
              <w:spacing w:line="500" w:lineRule="exact"/>
              <w:rPr>
                <w:rFonts w:hAnsi="標楷體"/>
                <w:b/>
                <w:color w:val="auto"/>
              </w:rPr>
            </w:pPr>
            <w:r w:rsidRPr="009B44CD">
              <w:rPr>
                <w:rFonts w:hAnsi="標楷體" w:cs="細明體" w:hint="eastAsia"/>
                <w:b/>
                <w:color w:val="auto"/>
                <w:sz w:val="36"/>
                <w:szCs w:val="36"/>
              </w:rPr>
              <w:t>某</w:t>
            </w:r>
            <w:r w:rsidR="002652D3" w:rsidRPr="009B44CD">
              <w:rPr>
                <w:rFonts w:hAnsi="標楷體" w:cs="細明體" w:hint="eastAsia"/>
                <w:b/>
                <w:color w:val="auto"/>
                <w:sz w:val="36"/>
                <w:szCs w:val="36"/>
              </w:rPr>
              <w:t>公所</w:t>
            </w:r>
            <w:r w:rsidRPr="009B44CD">
              <w:rPr>
                <w:rFonts w:hAnsi="標楷體" w:cs="細明體" w:hint="eastAsia"/>
                <w:b/>
                <w:color w:val="auto"/>
                <w:sz w:val="36"/>
                <w:szCs w:val="36"/>
              </w:rPr>
              <w:t>橋梁工程採購</w:t>
            </w:r>
            <w:r w:rsidR="006B0919" w:rsidRPr="009B44CD">
              <w:rPr>
                <w:rFonts w:hAnsi="標楷體" w:cs="細明體" w:hint="eastAsia"/>
                <w:b/>
                <w:color w:val="auto"/>
                <w:sz w:val="36"/>
                <w:szCs w:val="36"/>
              </w:rPr>
              <w:t>預算編列及底價訂定</w:t>
            </w:r>
            <w:r w:rsidRPr="009B44CD">
              <w:rPr>
                <w:rFonts w:hAnsi="標楷體" w:cs="細明體" w:hint="eastAsia"/>
                <w:b/>
                <w:color w:val="auto"/>
                <w:sz w:val="36"/>
                <w:szCs w:val="36"/>
              </w:rPr>
              <w:t>乙案，涉犯貪污治罪條例、刑法偽造文書罪。</w:t>
            </w:r>
          </w:p>
        </w:tc>
      </w:tr>
      <w:tr w:rsidR="009B44CD" w:rsidRPr="009B44CD" w14:paraId="327A9EDC" w14:textId="77777777" w:rsidTr="00EE6044">
        <w:trPr>
          <w:trHeight w:val="540"/>
        </w:trPr>
        <w:tc>
          <w:tcPr>
            <w:tcW w:w="756" w:type="dxa"/>
            <w:vMerge/>
          </w:tcPr>
          <w:p w14:paraId="4F095B24" w14:textId="77777777" w:rsidR="004913F3" w:rsidRPr="009B44CD" w:rsidRDefault="004913F3" w:rsidP="00654FD0">
            <w:pPr>
              <w:rPr>
                <w:rFonts w:ascii="標楷體" w:eastAsia="標楷體" w:hAnsi="標楷體"/>
              </w:rPr>
            </w:pPr>
          </w:p>
        </w:tc>
        <w:tc>
          <w:tcPr>
            <w:tcW w:w="845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43"/>
            </w:tblGrid>
            <w:tr w:rsidR="009B44CD" w:rsidRPr="009B44CD" w14:paraId="0C8F1657" w14:textId="77777777">
              <w:trPr>
                <w:trHeight w:val="370"/>
              </w:trPr>
              <w:tc>
                <w:tcPr>
                  <w:tcW w:w="0" w:type="auto"/>
                </w:tcPr>
                <w:p w14:paraId="34FA4E98" w14:textId="77777777" w:rsidR="004913F3" w:rsidRPr="009B44CD" w:rsidRDefault="004913F3" w:rsidP="00AB074A">
                  <w:pPr>
                    <w:pStyle w:val="Web"/>
                    <w:shd w:val="clear" w:color="auto" w:fill="FFFFFF"/>
                    <w:spacing w:before="0" w:beforeAutospacing="0" w:after="0" w:afterAutospacing="0" w:line="500" w:lineRule="exact"/>
                    <w:jc w:val="both"/>
                    <w:textAlignment w:val="baseline"/>
                    <w:rPr>
                      <w:rFonts w:ascii="標楷體" w:eastAsia="標楷體" w:hAnsi="標楷體" w:cs="細明體"/>
                      <w:sz w:val="36"/>
                      <w:szCs w:val="36"/>
                    </w:rPr>
                  </w:pPr>
                  <w:r w:rsidRPr="009B44CD">
                    <w:rPr>
                      <w:rFonts w:ascii="標楷體" w:eastAsia="標楷體" w:hAnsi="標楷體" w:cs="細明體"/>
                      <w:sz w:val="36"/>
                      <w:szCs w:val="36"/>
                    </w:rPr>
                    <w:t xml:space="preserve">    </w:t>
                  </w:r>
                  <w:r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某</w:t>
                  </w:r>
                  <w:r w:rsidR="002652D3"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公所</w:t>
                  </w:r>
                  <w:r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辦理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橋梁工程採購招標案，因無人投標而流標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5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次，第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6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次因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3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家廠商投標價格都高於底標價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8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％而廢標。○○公司受</w:t>
                  </w:r>
                  <w:r w:rsidR="002652D3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公所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委託編製第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7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次工程招標預算書，員工李○被控編列改善工程部分的預算時，參考第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6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次廢標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3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家廠商的投標單價當作市場行情，並考量營造工程物價漲幅，將各項目單價加計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5.6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％，調整預算為</w:t>
                  </w:r>
                  <w:r w:rsidR="002652D3"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6</w:t>
                  </w:r>
                  <w:r w:rsidR="002652D3"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,</w:t>
                  </w:r>
                  <w:r w:rsidR="002652D3"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500萬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餘元。</w:t>
                  </w:r>
                </w:p>
                <w:p w14:paraId="01A5E0E2" w14:textId="77777777" w:rsidR="004913F3" w:rsidRPr="009B44CD" w:rsidRDefault="004913F3" w:rsidP="00AB074A">
                  <w:pPr>
                    <w:pStyle w:val="Web"/>
                    <w:shd w:val="clear" w:color="auto" w:fill="FFFFFF"/>
                    <w:spacing w:before="0" w:beforeAutospacing="0" w:after="0" w:afterAutospacing="0" w:line="500" w:lineRule="exact"/>
                    <w:jc w:val="both"/>
                    <w:textAlignment w:val="baseline"/>
                    <w:rPr>
                      <w:rFonts w:ascii="標楷體" w:eastAsia="標楷體" w:hAnsi="標楷體" w:cs="細明體"/>
                      <w:sz w:val="36"/>
                      <w:szCs w:val="36"/>
                    </w:rPr>
                  </w:pPr>
                  <w:r w:rsidRPr="009B44CD">
                    <w:rPr>
                      <w:rFonts w:ascii="標楷體" w:eastAsia="標楷體" w:hAnsi="標楷體" w:cs="細明體"/>
                      <w:sz w:val="36"/>
                      <w:szCs w:val="36"/>
                    </w:rPr>
                    <w:t xml:space="preserve">    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標案承辦人</w:t>
                  </w:r>
                  <w:r w:rsidR="006B0919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黃○○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認為預算書違法、不妥，拒絕蓋章，</w:t>
                  </w:r>
                  <w:r w:rsidR="002652D3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主管陳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○○自行簽辦，章○○代蓋</w:t>
                  </w:r>
                  <w:r w:rsidR="006B0919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首長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授權的</w:t>
                  </w:r>
                  <w:r w:rsidR="006B0919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乙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章決行，會計室等人看到已核批，才補章；</w:t>
                  </w:r>
                  <w:r w:rsidR="006B0919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章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○○親自批示工程核定底價為</w:t>
                  </w:r>
                  <w:r w:rsidR="006B0919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6000萬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元，最終由某廠商以最低標價</w:t>
                  </w:r>
                  <w:r w:rsidR="006B0919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6100萬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元</w:t>
                  </w:r>
                  <w:r w:rsidR="005A1468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，依查核金額採購並超出底價4%內，以超底價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得標，</w:t>
                  </w:r>
                  <w:r w:rsidR="005A1468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後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被控浮報工程預算，且登載不實文書。</w:t>
                  </w:r>
                </w:p>
                <w:p w14:paraId="53B0F267" w14:textId="77777777" w:rsidR="004913F3" w:rsidRPr="009B44CD" w:rsidRDefault="004913F3" w:rsidP="00AB074A">
                  <w:pPr>
                    <w:pStyle w:val="Web"/>
                    <w:shd w:val="clear" w:color="auto" w:fill="FFFFFF"/>
                    <w:spacing w:before="0" w:beforeAutospacing="0" w:after="0" w:afterAutospacing="0" w:line="500" w:lineRule="exact"/>
                    <w:ind w:firstLineChars="215" w:firstLine="774"/>
                    <w:jc w:val="both"/>
                    <w:textAlignment w:val="baseline"/>
                    <w:rPr>
                      <w:rFonts w:ascii="標楷體" w:eastAsia="標楷體" w:hAnsi="標楷體" w:cs="細明體"/>
                      <w:sz w:val="36"/>
                      <w:szCs w:val="36"/>
                    </w:rPr>
                  </w:pP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合議庭認為，政府採購法並未規範招標單位如何查訪所謂「市場行情」；而參與第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6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次投標的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3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家公司，查無聯合哄抬價格或假性競爭，自然可以做為第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7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標定價的參考。</w:t>
                  </w:r>
                </w:p>
                <w:p w14:paraId="46502B04" w14:textId="77777777" w:rsidR="004913F3" w:rsidRPr="009B44CD" w:rsidRDefault="004913F3" w:rsidP="00AB074A">
                  <w:pPr>
                    <w:pStyle w:val="Web"/>
                    <w:shd w:val="clear" w:color="auto" w:fill="FFFFFF"/>
                    <w:spacing w:before="0" w:beforeAutospacing="0" w:after="0" w:afterAutospacing="0" w:line="500" w:lineRule="exact"/>
                    <w:ind w:firstLineChars="215" w:firstLine="774"/>
                    <w:jc w:val="both"/>
                    <w:textAlignment w:val="baseline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判決又指</w:t>
                  </w:r>
                  <w:r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出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，檢察官無法舉證提出</w:t>
                  </w:r>
                  <w:r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該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工程的真正合理預算價格，合議庭委請專業鑑定，結論指出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97</w:t>
                  </w:r>
                  <w:r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年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3</w:t>
                  </w:r>
                  <w:r w:rsidRPr="009B44CD">
                    <w:rPr>
                      <w:rFonts w:ascii="標楷體" w:eastAsia="標楷體" w:hAnsi="標楷體" w:cs="細明體" w:hint="eastAsia"/>
                      <w:bCs/>
                      <w:sz w:val="36"/>
                      <w:szCs w:val="36"/>
                    </w:rPr>
                    <w:t>、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4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月間，營建工程物價波動確實劇烈，光憑</w:t>
                  </w:r>
                  <w:r w:rsidR="006B0919"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李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○○等人參考第</w:t>
                  </w:r>
                  <w:r w:rsidRPr="009B44CD">
                    <w:rPr>
                      <w:rFonts w:ascii="標楷體" w:eastAsia="標楷體" w:hAnsi="標楷體" w:cs="細明體"/>
                      <w:bCs/>
                      <w:sz w:val="36"/>
                      <w:szCs w:val="36"/>
                    </w:rPr>
                    <w:t>6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次廢標價格並參酌物價，做為編製預算、訂定底價的依據，難以認定有浮編預算、浮</w:t>
                  </w:r>
                  <w:r w:rsidRPr="009B44CD"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lastRenderedPageBreak/>
                    <w:t>報價額、舞弊或圖利廠商的犯意與行為，因此全判無罪。</w:t>
                  </w:r>
                </w:p>
              </w:tc>
            </w:tr>
          </w:tbl>
          <w:p w14:paraId="6858D1EF" w14:textId="77777777" w:rsidR="004913F3" w:rsidRPr="009B44CD" w:rsidRDefault="004913F3" w:rsidP="00A859D6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4CD" w:rsidRPr="009B44CD" w14:paraId="06204C69" w14:textId="77777777" w:rsidTr="00EE6044">
        <w:trPr>
          <w:trHeight w:val="1833"/>
        </w:trPr>
        <w:tc>
          <w:tcPr>
            <w:tcW w:w="756" w:type="dxa"/>
          </w:tcPr>
          <w:p w14:paraId="20C97A7E" w14:textId="77777777" w:rsidR="00EE6044" w:rsidRPr="00EE6044" w:rsidRDefault="004913F3" w:rsidP="00EE6044">
            <w:pPr>
              <w:jc w:val="center"/>
              <w:rPr>
                <w:rFonts w:ascii="標楷體" w:eastAsia="標楷體" w:hAnsi="標楷體" w:cs="細明體"/>
                <w:b/>
                <w:kern w:val="0"/>
                <w:sz w:val="36"/>
                <w:szCs w:val="36"/>
              </w:rPr>
            </w:pPr>
            <w:r w:rsidRPr="00EE6044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lastRenderedPageBreak/>
              <w:t>問</w:t>
            </w:r>
          </w:p>
          <w:p w14:paraId="2DD87B68" w14:textId="77777777" w:rsidR="00EE6044" w:rsidRPr="00EE6044" w:rsidRDefault="004913F3" w:rsidP="00EE6044">
            <w:pPr>
              <w:jc w:val="center"/>
              <w:rPr>
                <w:rFonts w:ascii="標楷體" w:eastAsia="標楷體" w:hAnsi="標楷體" w:cs="細明體"/>
                <w:b/>
                <w:kern w:val="0"/>
                <w:sz w:val="36"/>
                <w:szCs w:val="36"/>
              </w:rPr>
            </w:pPr>
            <w:r w:rsidRPr="00EE6044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題</w:t>
            </w:r>
          </w:p>
          <w:p w14:paraId="43FF8854" w14:textId="77777777" w:rsidR="00EE6044" w:rsidRPr="00EE6044" w:rsidRDefault="004913F3" w:rsidP="00EE6044">
            <w:pPr>
              <w:jc w:val="center"/>
              <w:rPr>
                <w:rFonts w:ascii="標楷體" w:eastAsia="標楷體" w:hAnsi="標楷體" w:cs="細明體"/>
                <w:b/>
                <w:kern w:val="0"/>
                <w:sz w:val="36"/>
                <w:szCs w:val="36"/>
              </w:rPr>
            </w:pPr>
            <w:r w:rsidRPr="00EE6044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與</w:t>
            </w:r>
          </w:p>
          <w:p w14:paraId="3F5D9193" w14:textId="77777777" w:rsidR="00EE6044" w:rsidRPr="00EE6044" w:rsidRDefault="004913F3" w:rsidP="00EE6044">
            <w:pPr>
              <w:jc w:val="center"/>
              <w:rPr>
                <w:rFonts w:ascii="標楷體" w:eastAsia="標楷體" w:hAnsi="標楷體" w:cs="細明體"/>
                <w:b/>
                <w:kern w:val="0"/>
                <w:sz w:val="36"/>
                <w:szCs w:val="36"/>
              </w:rPr>
            </w:pPr>
            <w:r w:rsidRPr="00EE6044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風</w:t>
            </w:r>
          </w:p>
          <w:p w14:paraId="252D1A04" w14:textId="03A6785E" w:rsidR="004913F3" w:rsidRPr="009B44CD" w:rsidRDefault="004913F3" w:rsidP="00EE6044">
            <w:pPr>
              <w:jc w:val="center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EE6044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險</w:t>
            </w:r>
          </w:p>
        </w:tc>
        <w:tc>
          <w:tcPr>
            <w:tcW w:w="8459" w:type="dxa"/>
          </w:tcPr>
          <w:p w14:paraId="4E4BD8DA" w14:textId="77777777" w:rsidR="004913F3" w:rsidRPr="009B44CD" w:rsidRDefault="004913F3" w:rsidP="00143FB3">
            <w:pPr>
              <w:pStyle w:val="Web"/>
              <w:shd w:val="clear" w:color="auto" w:fill="FFFFFF"/>
              <w:spacing w:before="0" w:beforeAutospacing="0" w:after="0" w:afterAutospacing="0" w:line="500" w:lineRule="exact"/>
              <w:ind w:firstLineChars="215" w:firstLine="774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bookmarkStart w:id="0" w:name="_GoBack"/>
            <w:bookmarkEnd w:id="0"/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預算編列常因涉及浮編風險，遇物價大幅波動時，以往預算編列為避免遭質疑，常透過經常性流標後，逐步檢討並調高預算，過程因行政簽辦冗長，以致行政效率不彰且預算執行效率低落。</w:t>
            </w:r>
          </w:p>
          <w:p w14:paraId="4ECB1563" w14:textId="77777777" w:rsidR="004913F3" w:rsidRPr="009B44CD" w:rsidRDefault="004913F3" w:rsidP="00EE6044">
            <w:pPr>
              <w:pStyle w:val="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500" w:lineRule="exact"/>
              <w:ind w:hanging="591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機關自辦設計時，對於預算編列，應注意事項為何？</w:t>
            </w:r>
          </w:p>
          <w:p w14:paraId="600049E9" w14:textId="77777777" w:rsidR="004913F3" w:rsidRPr="009B44CD" w:rsidRDefault="004913F3" w:rsidP="00EE6044">
            <w:pPr>
              <w:pStyle w:val="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500" w:lineRule="exact"/>
              <w:ind w:hanging="591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委託設計時，對於廠商提送之細部設計書圖文件，機關審查重點為何？</w:t>
            </w:r>
          </w:p>
        </w:tc>
      </w:tr>
      <w:tr w:rsidR="009B44CD" w:rsidRPr="009B44CD" w14:paraId="4C9C9D86" w14:textId="77777777" w:rsidTr="00EE6044">
        <w:tc>
          <w:tcPr>
            <w:tcW w:w="756" w:type="dxa"/>
          </w:tcPr>
          <w:p w14:paraId="202006AD" w14:textId="77777777" w:rsidR="004913F3" w:rsidRPr="00EE6044" w:rsidRDefault="004913F3" w:rsidP="00EE604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E6044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因應之道</w:t>
            </w:r>
          </w:p>
        </w:tc>
        <w:tc>
          <w:tcPr>
            <w:tcW w:w="8459" w:type="dxa"/>
          </w:tcPr>
          <w:p w14:paraId="2C4BD76A" w14:textId="7B1028F1" w:rsidR="00EE6044" w:rsidRPr="005B794D" w:rsidRDefault="005B794D" w:rsidP="00EE6044">
            <w:pPr>
              <w:widowControl/>
              <w:autoSpaceDE w:val="0"/>
              <w:autoSpaceDN w:val="0"/>
              <w:adjustRightInd w:val="0"/>
              <w:spacing w:line="500" w:lineRule="exact"/>
              <w:ind w:left="288" w:hangingChars="80" w:hanging="288"/>
              <w:jc w:val="both"/>
              <w:rPr>
                <w:rFonts w:ascii="標楷體" w:eastAsia="標楷體" w:hAnsi="標楷體" w:cs="細明體"/>
                <w:b/>
                <w:kern w:val="0"/>
                <w:sz w:val="36"/>
                <w:szCs w:val="36"/>
              </w:rPr>
            </w:pPr>
            <w:r w:rsidRPr="005B794D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戴組長岳志：</w:t>
            </w:r>
          </w:p>
          <w:p w14:paraId="07ACECF9" w14:textId="6C2DA044" w:rsidR="005D765C" w:rsidRDefault="003B76E5" w:rsidP="00EE6044">
            <w:pPr>
              <w:widowControl/>
              <w:autoSpaceDE w:val="0"/>
              <w:autoSpaceDN w:val="0"/>
              <w:adjustRightInd w:val="0"/>
              <w:spacing w:line="500" w:lineRule="exact"/>
              <w:ind w:left="288" w:hangingChars="80" w:hanging="288"/>
              <w:jc w:val="both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1.</w:t>
            </w:r>
            <w:r w:rsidR="0014317F" w:rsidRPr="003B76E5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工程會網站</w:t>
            </w:r>
            <w:r w:rsidR="00143FB3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5D765C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公共工程技術資料庫</w:t>
            </w:r>
            <w:r w:rsidR="00376590" w:rsidRPr="003B76E5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有</w:t>
            </w:r>
            <w:r w:rsidR="00376590" w:rsidRPr="00376590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工程預算成本架構之建置，以提供廣大使用者得有整合性之技術基礎工具進行參考；預算成本架構主要參考工程會編列之「公共建設工程經費估算編列手冊」編撰而成，其中於預算成本架構資料整合中，涵蓋了技術資料庫之施工綱要規範、細目碼編訂規則表、價格資料庫以及PCCES，使用者除可參考預算成本架構編列預算外，也可進行施工綱要規範、工項編碼、價格資料庫與PCCES資訊之橫向聯結。</w:t>
            </w:r>
          </w:p>
          <w:p w14:paraId="100BC2EF" w14:textId="77777777" w:rsidR="005D765C" w:rsidRDefault="005D765C" w:rsidP="00EE6044">
            <w:pPr>
              <w:widowControl/>
              <w:autoSpaceDE w:val="0"/>
              <w:autoSpaceDN w:val="0"/>
              <w:adjustRightInd w:val="0"/>
              <w:spacing w:line="500" w:lineRule="exact"/>
              <w:ind w:left="288" w:hangingChars="80" w:hanging="288"/>
              <w:jc w:val="both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2.</w:t>
            </w:r>
            <w:r w:rsidR="00284B24" w:rsidRPr="00284B24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工程會整編「公共工程施工綱要規範」</w:t>
            </w:r>
            <w:r w:rsidR="003E5AB5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84B24" w:rsidRPr="00284B24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並建置完成各機關施工規範查詢平台</w:t>
            </w:r>
            <w:r w:rsidR="003E5AB5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84B24" w:rsidRPr="00284B24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各機關可依工程採購之特性及實際需要擇訂於招標文件</w:t>
            </w:r>
            <w:r w:rsidR="003E5AB5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84B24" w:rsidRPr="00284B24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以期周延。</w:t>
            </w:r>
          </w:p>
          <w:p w14:paraId="2E420053" w14:textId="6E433798" w:rsidR="005D765C" w:rsidRDefault="005D765C" w:rsidP="00EE6044">
            <w:pPr>
              <w:widowControl/>
              <w:autoSpaceDE w:val="0"/>
              <w:autoSpaceDN w:val="0"/>
              <w:adjustRightInd w:val="0"/>
              <w:spacing w:line="500" w:lineRule="exact"/>
              <w:ind w:left="288" w:hangingChars="80" w:hanging="288"/>
              <w:jc w:val="both"/>
              <w:rPr>
                <w:rFonts w:ascii="Times" w:hAnsi="Times" w:cs="Times"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3.</w:t>
            </w:r>
            <w:r w:rsidR="0025008A" w:rsidRPr="0025008A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為規範公共工程計畫經費估算之架構</w:t>
            </w:r>
            <w:r w:rsidR="00A915BF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5008A" w:rsidRPr="0025008A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俾使工程主辦單位於編製重大工程計畫經費</w:t>
            </w:r>
            <w:r w:rsidR="00A915BF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5008A" w:rsidRPr="0025008A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及審議機關在審核時能有共同的作業基礎</w:t>
            </w:r>
            <w:r w:rsidR="00A915BF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5008A" w:rsidRPr="0025008A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工程會92年修訂「公共建設工程經費估算編列手冊」(包括公路工程、鐵路</w:t>
            </w:r>
            <w:r w:rsidR="0025008A" w:rsidRPr="0025008A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lastRenderedPageBreak/>
              <w:t>工程、橋梁 工程、隧道工程、捷運系統工程、機場工程、港灣工程、水庫工程、水力發電工程、自來水工程、河川整治工程、下水道工程、污水處理廠工 程、焚化廠工程、掩埋場工程、土方資源場工程、山坡地開發工程、建築工程、工業區開發工程等)</w:t>
            </w:r>
            <w:r w:rsidR="00A915BF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5008A" w:rsidRPr="0025008A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復於107年2月23日函修正「公共建設工程經費估算編列手冊」總則篇</w:t>
            </w:r>
            <w:r w:rsidR="00A915BF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5008A" w:rsidRPr="0025008A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請各機關參照辦理。</w:t>
            </w:r>
          </w:p>
          <w:p w14:paraId="5AA6D094" w14:textId="0856660E" w:rsidR="004913F3" w:rsidRPr="009B44CD" w:rsidRDefault="005D765C" w:rsidP="0029141B">
            <w:pPr>
              <w:widowControl/>
              <w:autoSpaceDE w:val="0"/>
              <w:autoSpaceDN w:val="0"/>
              <w:adjustRightInd w:val="0"/>
              <w:spacing w:line="500" w:lineRule="exact"/>
              <w:ind w:left="288" w:hangingChars="80" w:hanging="288"/>
              <w:rPr>
                <w:rFonts w:hAnsi="標楷體" w:cs="細明體"/>
                <w:sz w:val="36"/>
                <w:szCs w:val="36"/>
              </w:rPr>
            </w:pPr>
            <w:r w:rsidRPr="003E5AB5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4.</w:t>
            </w:r>
            <w:r w:rsidR="00284B24" w:rsidRPr="00284B24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工程會統一開發「公共工程經費電腦估價系統」(PCCES)</w:t>
            </w:r>
            <w:r w:rsidR="00A915BF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="00284B24" w:rsidRPr="00284B24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 xml:space="preserve">免費提供本軟體協助機關及廠商編製工程預算、製作標單、辦理估驗計價、變更設計以及進行經費審查比對等事項。 </w:t>
            </w:r>
          </w:p>
        </w:tc>
      </w:tr>
    </w:tbl>
    <w:p w14:paraId="2F53FCC4" w14:textId="77777777" w:rsidR="004913F3" w:rsidRPr="009B44CD" w:rsidRDefault="004913F3">
      <w:pPr>
        <w:rPr>
          <w:rFonts w:ascii="標楷體" w:eastAsia="標楷體" w:hAnsi="標楷體"/>
        </w:rPr>
      </w:pPr>
    </w:p>
    <w:p w14:paraId="4414B1EF" w14:textId="77777777" w:rsidR="004913F3" w:rsidRPr="009B44CD" w:rsidRDefault="004913F3">
      <w:pPr>
        <w:rPr>
          <w:rFonts w:ascii="標楷體" w:eastAsia="標楷體" w:hAnsi="標楷體"/>
        </w:rPr>
      </w:pPr>
      <w:r w:rsidRPr="009B44CD">
        <w:rPr>
          <w:rFonts w:ascii="標楷體" w:eastAsia="標楷體" w:hAnsi="標楷體"/>
        </w:rPr>
        <w:br w:type="page"/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8363"/>
      </w:tblGrid>
      <w:tr w:rsidR="009B44CD" w:rsidRPr="009B44CD" w14:paraId="01ADE765" w14:textId="77777777" w:rsidTr="00A859D6">
        <w:tc>
          <w:tcPr>
            <w:tcW w:w="9215" w:type="dxa"/>
            <w:gridSpan w:val="2"/>
          </w:tcPr>
          <w:p w14:paraId="68FB09A5" w14:textId="77777777" w:rsidR="004913F3" w:rsidRPr="009B44CD" w:rsidRDefault="004913F3" w:rsidP="00A859D6">
            <w:pPr>
              <w:jc w:val="center"/>
              <w:rPr>
                <w:rFonts w:ascii="標楷體" w:eastAsia="標楷體" w:hAnsi="標楷體"/>
              </w:rPr>
            </w:pPr>
            <w:r w:rsidRPr="009B44CD">
              <w:rPr>
                <w:rFonts w:ascii="標楷體" w:eastAsia="標楷體" w:hAnsi="標楷體" w:cs="Liberation Serif"/>
                <w:b/>
                <w:bCs/>
                <w:kern w:val="0"/>
                <w:sz w:val="40"/>
                <w:szCs w:val="40"/>
              </w:rPr>
              <w:lastRenderedPageBreak/>
              <w:t>109</w:t>
            </w:r>
            <w:r w:rsidRPr="009B44CD">
              <w:rPr>
                <w:rFonts w:ascii="標楷體" w:eastAsia="標楷體" w:hAnsi="標楷體" w:cs="Liberation Serif" w:hint="eastAsia"/>
                <w:b/>
                <w:bCs/>
                <w:kern w:val="0"/>
                <w:sz w:val="40"/>
                <w:szCs w:val="40"/>
              </w:rPr>
              <w:t>年度防貪指引暨私部門反貪研討議題</w:t>
            </w:r>
          </w:p>
        </w:tc>
      </w:tr>
      <w:tr w:rsidR="009B44CD" w:rsidRPr="009B44CD" w14:paraId="0888136D" w14:textId="77777777" w:rsidTr="00EE6044">
        <w:trPr>
          <w:trHeight w:val="525"/>
        </w:trPr>
        <w:tc>
          <w:tcPr>
            <w:tcW w:w="852" w:type="dxa"/>
            <w:vMerge w:val="restart"/>
          </w:tcPr>
          <w:p w14:paraId="0792C91D" w14:textId="5A2B3116" w:rsidR="004913F3" w:rsidRPr="009B44CD" w:rsidRDefault="00EE6044" w:rsidP="00EE6044">
            <w:pPr>
              <w:jc w:val="center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instrText>eq \o\ac(</w:instrText>
            </w:r>
            <w:r w:rsidRPr="00EE6044">
              <w:rPr>
                <w:rFonts w:ascii="標楷體" w:eastAsia="標楷體" w:hAnsi="標楷體" w:cs="細明體" w:hint="eastAsia"/>
                <w:kern w:val="0"/>
                <w:position w:val="-7"/>
                <w:sz w:val="54"/>
                <w:szCs w:val="36"/>
              </w:rPr>
              <w:instrText>○</w:instrText>
            </w:r>
            <w:r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instrText>,二)</w:instrText>
            </w: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fldChar w:fldCharType="end"/>
            </w:r>
          </w:p>
          <w:p w14:paraId="4606F48E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960D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工</w:t>
            </w:r>
          </w:p>
          <w:p w14:paraId="30CEFA99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960D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程</w:t>
            </w:r>
          </w:p>
          <w:p w14:paraId="6D479B14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960D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監</w:t>
            </w:r>
          </w:p>
          <w:p w14:paraId="253A1297" w14:textId="6F15330B" w:rsidR="004913F3" w:rsidRPr="006960D9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960D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造</w:t>
            </w:r>
          </w:p>
          <w:p w14:paraId="3E70EB42" w14:textId="49253651" w:rsidR="004913F3" w:rsidRPr="009B44CD" w:rsidRDefault="004913F3" w:rsidP="00A859D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</w:tcPr>
          <w:p w14:paraId="0CFE0810" w14:textId="77777777" w:rsidR="004913F3" w:rsidRPr="009B44CD" w:rsidRDefault="004913F3" w:rsidP="00A859D6">
            <w:pPr>
              <w:pStyle w:val="Default"/>
              <w:spacing w:line="500" w:lineRule="exact"/>
              <w:rPr>
                <w:rFonts w:hAnsi="標楷體"/>
                <w:b/>
                <w:color w:val="auto"/>
              </w:rPr>
            </w:pPr>
            <w:r w:rsidRPr="009B44CD">
              <w:rPr>
                <w:rFonts w:hAnsi="標楷體" w:cs="細明體" w:hint="eastAsia"/>
                <w:color w:val="auto"/>
                <w:sz w:val="36"/>
                <w:szCs w:val="36"/>
              </w:rPr>
              <w:t>報載某</w:t>
            </w:r>
            <w:r w:rsidR="006B0919" w:rsidRPr="009B44CD">
              <w:rPr>
                <w:rFonts w:hAnsi="標楷體" w:cs="細明體" w:hint="eastAsia"/>
                <w:color w:val="auto"/>
                <w:sz w:val="36"/>
                <w:szCs w:val="36"/>
              </w:rPr>
              <w:t>公園新建工程</w:t>
            </w:r>
            <w:r w:rsidRPr="009B44CD">
              <w:rPr>
                <w:rFonts w:hAnsi="標楷體" w:cs="細明體" w:hint="eastAsia"/>
                <w:color w:val="auto"/>
                <w:sz w:val="36"/>
                <w:szCs w:val="36"/>
              </w:rPr>
              <w:t>疑似有浮報工程進度，涉及圖利罪、偽造文書罪。</w:t>
            </w:r>
          </w:p>
        </w:tc>
      </w:tr>
      <w:tr w:rsidR="009B44CD" w:rsidRPr="009B44CD" w14:paraId="522DB968" w14:textId="77777777" w:rsidTr="00EE6044">
        <w:trPr>
          <w:trHeight w:val="540"/>
        </w:trPr>
        <w:tc>
          <w:tcPr>
            <w:tcW w:w="852" w:type="dxa"/>
            <w:vMerge/>
          </w:tcPr>
          <w:p w14:paraId="675DE641" w14:textId="77777777" w:rsidR="004913F3" w:rsidRPr="009B44CD" w:rsidRDefault="004913F3" w:rsidP="00A859D6">
            <w:pPr>
              <w:pStyle w:val="Web"/>
              <w:shd w:val="clear" w:color="auto" w:fill="FFFFFF"/>
              <w:spacing w:before="0" w:beforeAutospacing="0" w:after="0" w:afterAutospacing="0" w:line="500" w:lineRule="exact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</w:p>
        </w:tc>
        <w:tc>
          <w:tcPr>
            <w:tcW w:w="8363" w:type="dxa"/>
          </w:tcPr>
          <w:p w14:paraId="18574B85" w14:textId="77777777" w:rsidR="004913F3" w:rsidRPr="009B44CD" w:rsidRDefault="004913F3" w:rsidP="00A859D6">
            <w:pPr>
              <w:pStyle w:val="Web"/>
              <w:shd w:val="clear" w:color="auto" w:fill="FFFFFF"/>
              <w:spacing w:before="0" w:beforeAutospacing="0" w:after="0" w:afterAutospacing="0" w:line="500" w:lineRule="exact"/>
              <w:ind w:firstLineChars="206" w:firstLine="742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報載某</w:t>
            </w:r>
            <w:r w:rsidR="006B0919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民意代表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陳○○質疑某</w:t>
            </w:r>
            <w:r w:rsidR="006B0919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公園新建工程(發包金額為</w:t>
            </w:r>
            <w:r w:rsidR="00DF5137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1.5億元</w:t>
            </w:r>
            <w:r w:rsidR="006B0919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)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疑似有浮報工程進度，超額領取工程款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</w:t>
            </w:r>
            <w:r w:rsidR="00DF5137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1</w:t>
            </w:r>
            <w:r w:rsidR="006B0919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2</w:t>
            </w:r>
            <w:r w:rsidR="00DF5137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7</w:t>
            </w:r>
            <w:r w:rsidR="006B0919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1萬元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，質疑有弊端叢生；對此，機關首長表示，現在抱怨沒有用，要先處理後續問題，追究部分則是另案處理。機關首長出席</w:t>
            </w:r>
            <w:r w:rsidR="00DF5137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代表會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質詢，有議員質疑，該</w:t>
            </w:r>
            <w:r w:rsidR="00DF5137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公園新建工程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從去年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11 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月停工至今，從設計、發包、施工到核發工程進度計價，違反常態質疑有弊端，要求相關單位送檢調偵辦。機關首長表示，除了</w:t>
            </w:r>
            <w:r w:rsidR="00DF5137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機關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內部調查，也會移送檢調偵辦。</w:t>
            </w:r>
          </w:p>
          <w:p w14:paraId="67F8E31D" w14:textId="77777777" w:rsidR="004913F3" w:rsidRPr="009B44CD" w:rsidRDefault="00DF5137" w:rsidP="00DF5137">
            <w:pPr>
              <w:pStyle w:val="Web"/>
              <w:shd w:val="clear" w:color="auto" w:fill="FFFFFF"/>
              <w:spacing w:before="0" w:beforeAutospacing="0" w:after="0" w:afterAutospacing="0" w:line="500" w:lineRule="exact"/>
              <w:ind w:firstLineChars="206" w:firstLine="742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民意代表</w:t>
            </w:r>
            <w:r w:rsidR="004913F3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陳○○指出，承包廠商疑似有浮報工程進度，原先進度為</w:t>
            </w:r>
            <w:r w:rsidR="004913F3"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65.21%</w:t>
            </w:r>
            <w:r w:rsidR="004913F3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，核發工程金額</w:t>
            </w:r>
            <w:r w:rsidR="004913F3"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9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,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750</w:t>
            </w:r>
            <w:r w:rsidR="004913F3"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</w:t>
            </w:r>
            <w:r w:rsidR="004913F3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億元，最後鑑定結果卻是</w:t>
            </w:r>
            <w:r w:rsidR="004913F3"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59.66%</w:t>
            </w:r>
            <w:r w:rsidR="004913F3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，工程金額</w:t>
            </w:r>
            <w:r w:rsidR="004913F3"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8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,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850</w:t>
            </w:r>
            <w:r w:rsidR="004913F3"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萬</w:t>
            </w:r>
            <w:r w:rsidR="004913F3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元，</w:t>
            </w:r>
            <w:r w:rsidR="004913F3"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2 </w:t>
            </w:r>
            <w:r w:rsidR="004913F3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項工程進度短差</w:t>
            </w:r>
            <w:r w:rsidR="004913F3" w:rsidRPr="009B44CD">
              <w:rPr>
                <w:rFonts w:ascii="標楷體" w:eastAsia="標楷體" w:hAnsi="標楷體" w:cs="細明體"/>
                <w:sz w:val="36"/>
                <w:szCs w:val="36"/>
              </w:rPr>
              <w:t xml:space="preserve"> 5.55%</w:t>
            </w:r>
            <w:r w:rsidR="004913F3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，金額卻超額合計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900萬</w:t>
            </w:r>
            <w:r w:rsidR="004913F3"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元。</w:t>
            </w:r>
          </w:p>
        </w:tc>
      </w:tr>
      <w:tr w:rsidR="009B44CD" w:rsidRPr="009B44CD" w14:paraId="7EC5F0AC" w14:textId="77777777" w:rsidTr="00EE6044">
        <w:trPr>
          <w:trHeight w:val="699"/>
        </w:trPr>
        <w:tc>
          <w:tcPr>
            <w:tcW w:w="852" w:type="dxa"/>
          </w:tcPr>
          <w:p w14:paraId="3F2EBDDF" w14:textId="77777777" w:rsidR="004913F3" w:rsidRPr="00EE6044" w:rsidRDefault="004913F3" w:rsidP="00EE6044">
            <w:pPr>
              <w:pStyle w:val="Web"/>
              <w:shd w:val="clear" w:color="auto" w:fill="FFFFFF"/>
              <w:spacing w:before="0" w:beforeAutospacing="0" w:after="0" w:afterAutospacing="0" w:line="500" w:lineRule="exact"/>
              <w:jc w:val="center"/>
              <w:textAlignment w:val="baseline"/>
              <w:rPr>
                <w:rFonts w:ascii="標楷體" w:eastAsia="標楷體" w:hAnsi="標楷體" w:cs="細明體"/>
                <w:b/>
                <w:sz w:val="36"/>
                <w:szCs w:val="36"/>
              </w:rPr>
            </w:pPr>
            <w:r w:rsidRPr="00EE6044">
              <w:rPr>
                <w:rFonts w:ascii="標楷體" w:eastAsia="標楷體" w:hAnsi="標楷體" w:cs="細明體" w:hint="eastAsia"/>
                <w:b/>
                <w:sz w:val="36"/>
                <w:szCs w:val="36"/>
              </w:rPr>
              <w:t>問題與風險</w:t>
            </w:r>
          </w:p>
        </w:tc>
        <w:tc>
          <w:tcPr>
            <w:tcW w:w="8363" w:type="dxa"/>
          </w:tcPr>
          <w:p w14:paraId="7F36EDD9" w14:textId="77777777" w:rsidR="004913F3" w:rsidRPr="009B44CD" w:rsidRDefault="004913F3" w:rsidP="00A859D6">
            <w:pPr>
              <w:pStyle w:val="Web"/>
              <w:shd w:val="clear" w:color="auto" w:fill="FFFFFF"/>
              <w:spacing w:before="0" w:beforeAutospacing="0" w:after="0" w:afterAutospacing="0" w:line="500" w:lineRule="exact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工程進度如實填列攸關採購估驗金額多寡，若未能依實際狀況陳報工進，恐有業務登載不實及圖利罪之虞。</w:t>
            </w:r>
          </w:p>
          <w:p w14:paraId="794F95DD" w14:textId="77777777" w:rsidR="004913F3" w:rsidRPr="009B44CD" w:rsidRDefault="004913F3" w:rsidP="00A859D6">
            <w:pPr>
              <w:pStyle w:val="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500" w:lineRule="exact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機關採購人員對於監造計畫、品管計畫及施工計畫之審查重點內容為何？</w:t>
            </w:r>
          </w:p>
          <w:p w14:paraId="7D353F2F" w14:textId="77777777" w:rsidR="004913F3" w:rsidRPr="009B44CD" w:rsidRDefault="004913F3" w:rsidP="00A859D6">
            <w:pPr>
              <w:pStyle w:val="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500" w:lineRule="exact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工程進行中，對於施工進度之掌握，機關承辦人員及監造人員就文書作業審查及填列，須掌握之重點為何？</w:t>
            </w:r>
          </w:p>
        </w:tc>
      </w:tr>
      <w:tr w:rsidR="009B44CD" w:rsidRPr="009B44CD" w14:paraId="6AC1FE5E" w14:textId="77777777" w:rsidTr="00EE6044">
        <w:trPr>
          <w:trHeight w:val="8647"/>
        </w:trPr>
        <w:tc>
          <w:tcPr>
            <w:tcW w:w="852" w:type="dxa"/>
          </w:tcPr>
          <w:p w14:paraId="0AAEE768" w14:textId="77777777" w:rsidR="004913F3" w:rsidRPr="00EE6044" w:rsidRDefault="004913F3" w:rsidP="00EE6044">
            <w:pPr>
              <w:pStyle w:val="Web"/>
              <w:shd w:val="clear" w:color="auto" w:fill="FFFFFF"/>
              <w:spacing w:before="0" w:beforeAutospacing="0" w:after="0" w:afterAutospacing="0" w:line="500" w:lineRule="exact"/>
              <w:jc w:val="center"/>
              <w:textAlignment w:val="baseline"/>
              <w:rPr>
                <w:rFonts w:ascii="標楷體" w:eastAsia="標楷體" w:hAnsi="標楷體" w:cs="細明體"/>
                <w:b/>
                <w:sz w:val="36"/>
                <w:szCs w:val="36"/>
              </w:rPr>
            </w:pPr>
            <w:r w:rsidRPr="00EE6044">
              <w:rPr>
                <w:rFonts w:ascii="標楷體" w:eastAsia="標楷體" w:hAnsi="標楷體" w:cs="細明體" w:hint="eastAsia"/>
                <w:b/>
                <w:sz w:val="36"/>
                <w:szCs w:val="36"/>
              </w:rPr>
              <w:lastRenderedPageBreak/>
              <w:t>因應之道</w:t>
            </w:r>
          </w:p>
        </w:tc>
        <w:tc>
          <w:tcPr>
            <w:tcW w:w="8363" w:type="dxa"/>
          </w:tcPr>
          <w:p w14:paraId="40B40B71" w14:textId="4CDC2224" w:rsidR="005B794D" w:rsidRDefault="005B794D" w:rsidP="005B794D">
            <w:pPr>
              <w:widowControl/>
              <w:autoSpaceDE w:val="0"/>
              <w:autoSpaceDN w:val="0"/>
              <w:adjustRightInd w:val="0"/>
              <w:spacing w:line="500" w:lineRule="exact"/>
              <w:ind w:left="288" w:hangingChars="80" w:hanging="288"/>
              <w:jc w:val="both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5B794D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戴組長岳志：</w:t>
            </w:r>
          </w:p>
          <w:p w14:paraId="72F02A10" w14:textId="3CB11583" w:rsidR="00581D5C" w:rsidRDefault="00F76BA2" w:rsidP="00581D5C">
            <w:pPr>
              <w:pStyle w:val="Web"/>
              <w:shd w:val="clear" w:color="auto" w:fill="FFFFFF"/>
              <w:spacing w:before="0" w:beforeAutospacing="0" w:after="0" w:afterAutospacing="0" w:line="500" w:lineRule="exact"/>
              <w:ind w:left="288" w:hangingChars="80" w:hanging="288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1.工程會為使公共工程施工廠商依工程需求訂定進度管理資料</w:t>
            </w:r>
            <w:r w:rsidRPr="00581D5C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監造單位、專案管理單位及主辦機關落實審查、核定及進度確保作業</w:t>
            </w:r>
            <w:r w:rsidRPr="00581D5C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特訂定「公共工程施工進度管理作業參考要項」</w:t>
            </w:r>
            <w:r w:rsidRPr="00581D5C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以協助各機關辦理施工進度管理工作</w:t>
            </w:r>
            <w:r w:rsidRPr="00581D5C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確實掌握及管控施工進度</w:t>
            </w:r>
            <w:r w:rsidRPr="00581D5C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提升工程執行績效</w:t>
            </w:r>
            <w:r w:rsidRPr="00581D5C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並以105.4.22工程管字第10500124350 號函檢送各機關(構)配合辦理</w:t>
            </w:r>
            <w:r w:rsidRPr="00581D5C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機關辦理新台幣(以下同)一百萬元以上之工程採購</w:t>
            </w:r>
            <w:r w:rsidR="00714D94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得視個案特性、標案規模及實際施工情形</w:t>
            </w:r>
            <w:r w:rsidRPr="00581D5C">
              <w:rPr>
                <w:rFonts w:ascii="標楷體" w:eastAsia="標楷體" w:hAnsi="標楷體" w:cs="細明體" w:hint="eastAsia"/>
                <w:sz w:val="36"/>
                <w:szCs w:val="36"/>
              </w:rPr>
              <w:t>，</w:t>
            </w: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參採本參考要項之內容。</w:t>
            </w:r>
          </w:p>
          <w:p w14:paraId="03D70406" w14:textId="2AEDA6A4" w:rsidR="004913F3" w:rsidRPr="009B44CD" w:rsidRDefault="00581D5C" w:rsidP="0029141B">
            <w:pPr>
              <w:pStyle w:val="Web"/>
              <w:shd w:val="clear" w:color="auto" w:fill="FFFFFF"/>
              <w:spacing w:before="0" w:beforeAutospacing="0" w:after="0" w:afterAutospacing="0" w:line="500" w:lineRule="exact"/>
              <w:ind w:left="288" w:hangingChars="80" w:hanging="288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581D5C">
              <w:rPr>
                <w:rFonts w:ascii="標楷體" w:eastAsia="標楷體" w:hAnsi="標楷體" w:cs="細明體"/>
                <w:sz w:val="36"/>
                <w:szCs w:val="36"/>
              </w:rPr>
              <w:t>2.</w:t>
            </w:r>
            <w:r>
              <w:rPr>
                <w:rFonts w:ascii="標楷體" w:eastAsia="標楷體" w:hAnsi="標楷體" w:cs="細明體" w:hint="eastAsia"/>
                <w:sz w:val="36"/>
                <w:szCs w:val="36"/>
              </w:rPr>
              <w:t>公共工程監造報表</w:t>
            </w:r>
            <w:r w:rsidR="00173D61">
              <w:rPr>
                <w:rFonts w:ascii="標楷體" w:eastAsia="標楷體" w:hAnsi="標楷體" w:cs="細明體" w:hint="eastAsia"/>
                <w:sz w:val="36"/>
                <w:szCs w:val="36"/>
              </w:rPr>
              <w:t>第一項工程進行狀況</w:t>
            </w:r>
            <w:r w:rsidR="00173D61" w:rsidRPr="00173D61">
              <w:rPr>
                <w:rFonts w:ascii="標楷體" w:eastAsia="標楷體" w:hAnsi="標楷體" w:cs="細明體" w:hint="eastAsia"/>
                <w:sz w:val="36"/>
                <w:szCs w:val="36"/>
              </w:rPr>
              <w:t>（含約定之重要施工項目及數量）</w:t>
            </w:r>
            <w:r w:rsidR="00173D61">
              <w:rPr>
                <w:rFonts w:ascii="標楷體" w:eastAsia="標楷體" w:hAnsi="標楷體" w:cs="細明體" w:hint="eastAsia"/>
                <w:sz w:val="36"/>
                <w:szCs w:val="36"/>
              </w:rPr>
              <w:t>、施工日誌第一項依施工計畫書執行按圖施工</w:t>
            </w:r>
            <w:r w:rsidR="00173D61" w:rsidRPr="00173D61">
              <w:rPr>
                <w:rFonts w:ascii="標楷體" w:eastAsia="標楷體" w:hAnsi="標楷體" w:cs="細明體"/>
                <w:sz w:val="36"/>
                <w:szCs w:val="36"/>
              </w:rPr>
              <w:t>概況（含約定之重要施工項目及完成數量等）</w:t>
            </w:r>
            <w:r w:rsidR="00740F7E">
              <w:rPr>
                <w:rFonts w:ascii="標楷體" w:eastAsia="標楷體" w:hAnsi="標楷體" w:cs="細明體" w:hint="eastAsia"/>
                <w:sz w:val="36"/>
                <w:szCs w:val="36"/>
              </w:rPr>
              <w:t>應確實逐日記載，以為估驗計價之依據。</w:t>
            </w:r>
          </w:p>
        </w:tc>
      </w:tr>
    </w:tbl>
    <w:p w14:paraId="2F485216" w14:textId="77777777" w:rsidR="004913F3" w:rsidRDefault="004913F3">
      <w:pPr>
        <w:rPr>
          <w:rFonts w:ascii="標楷體" w:eastAsia="標楷體" w:hAnsi="標楷體"/>
        </w:rPr>
      </w:pPr>
    </w:p>
    <w:p w14:paraId="70932A37" w14:textId="77777777" w:rsidR="00714D94" w:rsidRDefault="00714D94">
      <w:pPr>
        <w:rPr>
          <w:rFonts w:ascii="標楷體" w:eastAsia="標楷體" w:hAnsi="標楷體"/>
        </w:rPr>
      </w:pPr>
    </w:p>
    <w:p w14:paraId="58C761D6" w14:textId="77777777" w:rsidR="00714D94" w:rsidRDefault="00714D94">
      <w:pPr>
        <w:rPr>
          <w:rFonts w:ascii="標楷體" w:eastAsia="標楷體" w:hAnsi="標楷體"/>
        </w:rPr>
      </w:pPr>
    </w:p>
    <w:p w14:paraId="74013145" w14:textId="77777777" w:rsidR="00714D94" w:rsidRDefault="00714D94">
      <w:pPr>
        <w:rPr>
          <w:rFonts w:ascii="標楷體" w:eastAsia="標楷體" w:hAnsi="標楷體"/>
        </w:rPr>
      </w:pPr>
    </w:p>
    <w:p w14:paraId="6CCC1ECC" w14:textId="77777777" w:rsidR="00714D94" w:rsidRDefault="00714D94">
      <w:pPr>
        <w:rPr>
          <w:rFonts w:ascii="標楷體" w:eastAsia="標楷體" w:hAnsi="標楷體"/>
        </w:rPr>
      </w:pPr>
    </w:p>
    <w:p w14:paraId="6DC66654" w14:textId="77777777" w:rsidR="00714D94" w:rsidRDefault="00714D94">
      <w:pPr>
        <w:rPr>
          <w:rFonts w:ascii="標楷體" w:eastAsia="標楷體" w:hAnsi="標楷體"/>
        </w:rPr>
      </w:pPr>
    </w:p>
    <w:p w14:paraId="6F5085D8" w14:textId="77777777" w:rsidR="00714D94" w:rsidRDefault="00714D94">
      <w:pPr>
        <w:rPr>
          <w:rFonts w:ascii="標楷體" w:eastAsia="標楷體" w:hAnsi="標楷體"/>
        </w:rPr>
      </w:pPr>
    </w:p>
    <w:p w14:paraId="7F2BADDF" w14:textId="77777777" w:rsidR="00714D94" w:rsidRDefault="00714D94">
      <w:pPr>
        <w:rPr>
          <w:rFonts w:ascii="標楷體" w:eastAsia="標楷體" w:hAnsi="標楷體"/>
        </w:rPr>
      </w:pPr>
    </w:p>
    <w:p w14:paraId="49BA2E56" w14:textId="77777777" w:rsidR="00714D94" w:rsidRDefault="00714D94">
      <w:pPr>
        <w:rPr>
          <w:rFonts w:ascii="標楷體" w:eastAsia="標楷體" w:hAnsi="標楷體"/>
        </w:rPr>
      </w:pPr>
    </w:p>
    <w:p w14:paraId="2D4C6FB3" w14:textId="77777777" w:rsidR="0029141B" w:rsidRDefault="0029141B">
      <w:pPr>
        <w:rPr>
          <w:rFonts w:ascii="標楷體" w:eastAsia="標楷體" w:hAnsi="標楷體"/>
        </w:rPr>
      </w:pPr>
    </w:p>
    <w:p w14:paraId="6865F826" w14:textId="77777777" w:rsidR="0029141B" w:rsidRDefault="0029141B">
      <w:pPr>
        <w:rPr>
          <w:rFonts w:ascii="標楷體" w:eastAsia="標楷體" w:hAnsi="標楷體" w:hint="eastAsia"/>
        </w:rPr>
      </w:pPr>
    </w:p>
    <w:p w14:paraId="0690697F" w14:textId="77777777" w:rsidR="00714D94" w:rsidRDefault="00714D94">
      <w:pPr>
        <w:rPr>
          <w:rFonts w:ascii="標楷體" w:eastAsia="標楷體" w:hAnsi="標楷體"/>
        </w:rPr>
      </w:pPr>
    </w:p>
    <w:p w14:paraId="6D2BCEDA" w14:textId="77777777" w:rsidR="00714D94" w:rsidRPr="009B44CD" w:rsidRDefault="00714D94">
      <w:pPr>
        <w:rPr>
          <w:rFonts w:ascii="標楷體" w:eastAsia="標楷體" w:hAnsi="標楷體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8459"/>
      </w:tblGrid>
      <w:tr w:rsidR="009B44CD" w:rsidRPr="009B44CD" w14:paraId="074AD685" w14:textId="77777777" w:rsidTr="00A859D6">
        <w:tc>
          <w:tcPr>
            <w:tcW w:w="9215" w:type="dxa"/>
            <w:gridSpan w:val="2"/>
          </w:tcPr>
          <w:p w14:paraId="0481EC17" w14:textId="77777777" w:rsidR="004913F3" w:rsidRPr="009B44CD" w:rsidRDefault="004913F3" w:rsidP="00A859D6">
            <w:pPr>
              <w:jc w:val="center"/>
              <w:rPr>
                <w:rFonts w:ascii="標楷體" w:eastAsia="標楷體" w:hAnsi="標楷體"/>
              </w:rPr>
            </w:pPr>
            <w:r w:rsidRPr="009B44CD">
              <w:rPr>
                <w:rFonts w:ascii="標楷體" w:eastAsia="標楷體" w:hAnsi="標楷體" w:cs="Liberation Serif"/>
                <w:b/>
                <w:bCs/>
                <w:kern w:val="0"/>
                <w:sz w:val="40"/>
                <w:szCs w:val="40"/>
              </w:rPr>
              <w:lastRenderedPageBreak/>
              <w:t>109</w:t>
            </w:r>
            <w:r w:rsidRPr="009B44CD">
              <w:rPr>
                <w:rFonts w:ascii="標楷體" w:eastAsia="標楷體" w:hAnsi="標楷體" w:cs="Liberation Serif" w:hint="eastAsia"/>
                <w:b/>
                <w:bCs/>
                <w:kern w:val="0"/>
                <w:sz w:val="40"/>
                <w:szCs w:val="40"/>
              </w:rPr>
              <w:t>年度防貪指引暨私部門反貪研討議題</w:t>
            </w:r>
          </w:p>
        </w:tc>
      </w:tr>
      <w:tr w:rsidR="009B44CD" w:rsidRPr="009B44CD" w14:paraId="1E52389E" w14:textId="77777777" w:rsidTr="00EE6044">
        <w:trPr>
          <w:trHeight w:val="525"/>
        </w:trPr>
        <w:tc>
          <w:tcPr>
            <w:tcW w:w="756" w:type="dxa"/>
            <w:vMerge w:val="restart"/>
          </w:tcPr>
          <w:p w14:paraId="5D146D94" w14:textId="7F957668" w:rsidR="004913F3" w:rsidRPr="009B44CD" w:rsidRDefault="00EE6044" w:rsidP="00EE6044">
            <w:pPr>
              <w:jc w:val="center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instrText>eq \o\ac(</w:instrText>
            </w:r>
            <w:r w:rsidRPr="00EE6044">
              <w:rPr>
                <w:rFonts w:ascii="標楷體" w:eastAsia="標楷體" w:hAnsi="標楷體" w:cs="細明體" w:hint="eastAsia"/>
                <w:kern w:val="0"/>
                <w:position w:val="-7"/>
                <w:sz w:val="54"/>
                <w:szCs w:val="36"/>
              </w:rPr>
              <w:instrText>○</w:instrText>
            </w:r>
            <w:r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instrText>,三)</w:instrText>
            </w:r>
            <w:r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fldChar w:fldCharType="end"/>
            </w:r>
          </w:p>
          <w:p w14:paraId="23EC7A48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43FB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工</w:t>
            </w:r>
          </w:p>
          <w:p w14:paraId="403E486B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43FB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程</w:t>
            </w:r>
          </w:p>
          <w:p w14:paraId="649C5EA1" w14:textId="77777777" w:rsidR="00EE6044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43FB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施</w:t>
            </w:r>
          </w:p>
          <w:p w14:paraId="73BCA89F" w14:textId="5DE730CF" w:rsidR="004913F3" w:rsidRPr="00143FB3" w:rsidRDefault="004913F3" w:rsidP="00EE604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43FB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工</w:t>
            </w:r>
          </w:p>
          <w:p w14:paraId="699457F2" w14:textId="09486BBD" w:rsidR="004913F3" w:rsidRPr="009B44CD" w:rsidRDefault="004913F3" w:rsidP="00A859D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459" w:type="dxa"/>
          </w:tcPr>
          <w:p w14:paraId="7AFEDC31" w14:textId="77777777" w:rsidR="004913F3" w:rsidRPr="00CD5B3D" w:rsidRDefault="004913F3" w:rsidP="00A859D6">
            <w:pPr>
              <w:pStyle w:val="Default"/>
              <w:spacing w:line="500" w:lineRule="exact"/>
              <w:rPr>
                <w:rFonts w:hAnsi="標楷體"/>
                <w:color w:val="auto"/>
                <w:sz w:val="36"/>
                <w:szCs w:val="36"/>
              </w:rPr>
            </w:pPr>
            <w:r w:rsidRPr="00CD5B3D">
              <w:rPr>
                <w:rFonts w:hAnsi="標楷體" w:hint="eastAsia"/>
                <w:color w:val="auto"/>
                <w:sz w:val="36"/>
                <w:szCs w:val="36"/>
              </w:rPr>
              <w:t>報載</w:t>
            </w:r>
            <w:r w:rsidRPr="00CD5B3D">
              <w:rPr>
                <w:rFonts w:hAnsi="標楷體" w:cs="Arial" w:hint="eastAsia"/>
                <w:color w:val="auto"/>
                <w:sz w:val="36"/>
                <w:szCs w:val="36"/>
              </w:rPr>
              <w:t>○機場</w:t>
            </w:r>
            <w:r w:rsidRPr="00CD5B3D">
              <w:rPr>
                <w:rFonts w:hAnsi="標楷體" w:cs="Arial"/>
                <w:color w:val="auto"/>
                <w:sz w:val="36"/>
                <w:szCs w:val="36"/>
              </w:rPr>
              <w:t>WC</w:t>
            </w:r>
            <w:r w:rsidRPr="00CD5B3D">
              <w:rPr>
                <w:rFonts w:hAnsi="標楷體" w:cs="Arial" w:hint="eastAsia"/>
                <w:color w:val="auto"/>
                <w:sz w:val="36"/>
                <w:szCs w:val="36"/>
              </w:rPr>
              <w:t>滑行道遷建及雙線化工程工地，邊坡發生土堆崩落意外，</w:t>
            </w:r>
            <w:r w:rsidRPr="00CD5B3D">
              <w:rPr>
                <w:rFonts w:hAnsi="標楷體" w:cs="Arial"/>
                <w:color w:val="auto"/>
                <w:sz w:val="36"/>
                <w:szCs w:val="36"/>
              </w:rPr>
              <w:t>3</w:t>
            </w:r>
            <w:r w:rsidRPr="00CD5B3D">
              <w:rPr>
                <w:rFonts w:hAnsi="標楷體" w:cs="Arial" w:hint="eastAsia"/>
                <w:color w:val="auto"/>
                <w:sz w:val="36"/>
                <w:szCs w:val="36"/>
              </w:rPr>
              <w:t>名工人逃生不及被土石掩埋，被救出送醫後都宣告不治；涉及業務登載不實罪、業務過失致人於死罪。</w:t>
            </w:r>
          </w:p>
        </w:tc>
      </w:tr>
      <w:tr w:rsidR="009B44CD" w:rsidRPr="009B44CD" w14:paraId="5D0CC385" w14:textId="77777777" w:rsidTr="00EE6044">
        <w:trPr>
          <w:trHeight w:val="540"/>
        </w:trPr>
        <w:tc>
          <w:tcPr>
            <w:tcW w:w="756" w:type="dxa"/>
            <w:vMerge/>
          </w:tcPr>
          <w:p w14:paraId="5352BFC4" w14:textId="77777777" w:rsidR="004913F3" w:rsidRPr="009B44CD" w:rsidRDefault="004913F3" w:rsidP="00DA0839">
            <w:pPr>
              <w:rPr>
                <w:rFonts w:ascii="標楷體" w:eastAsia="標楷體" w:hAnsi="標楷體"/>
              </w:rPr>
            </w:pPr>
          </w:p>
        </w:tc>
        <w:tc>
          <w:tcPr>
            <w:tcW w:w="8459" w:type="dxa"/>
          </w:tcPr>
          <w:p w14:paraId="2893AF27" w14:textId="77777777" w:rsidR="004913F3" w:rsidRPr="009B44CD" w:rsidRDefault="004913F3" w:rsidP="00A859D6">
            <w:pPr>
              <w:pStyle w:val="Web"/>
              <w:shd w:val="clear" w:color="auto" w:fill="FFFFFF"/>
              <w:spacing w:before="0" w:beforeAutospacing="0" w:after="0" w:afterAutospacing="0" w:line="500" w:lineRule="exact"/>
              <w:ind w:firstLineChars="206" w:firstLine="742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○地檢署偵辦○機場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WC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滑行道遷建及雙線化工程土石崩落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3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死意外，○機場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WC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滑行道遷建及雙線化工程工地，邊坡發生土堆崩落意外，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3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名工人逃生不及被土石掩埋，被救出送醫後都宣告不治。</w:t>
            </w:r>
          </w:p>
          <w:p w14:paraId="44B322B1" w14:textId="77777777" w:rsidR="004913F3" w:rsidRPr="009B44CD" w:rsidRDefault="004913F3" w:rsidP="00A859D6">
            <w:pPr>
              <w:pStyle w:val="Web"/>
              <w:shd w:val="clear" w:color="auto" w:fill="FFFFFF"/>
              <w:spacing w:before="0" w:beforeAutospacing="0" w:after="0" w:afterAutospacing="0" w:line="500" w:lineRule="exact"/>
              <w:ind w:firstLineChars="206" w:firstLine="742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檢方今早到意外現場勘驗，發現工地邊坡土石鬆軟，估計至少有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2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噸土石瞬間崩落，施工人員指出，當時已經施工結束，有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5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名工人正在整理機具，土石崩落時有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2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名工人順利逃出，另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3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人來不及爬出遭土石掩埋、石塊砸頭。</w:t>
            </w:r>
          </w:p>
          <w:p w14:paraId="2746AAA2" w14:textId="77777777" w:rsidR="004913F3" w:rsidRPr="009B44CD" w:rsidRDefault="004913F3" w:rsidP="00A859D6">
            <w:pPr>
              <w:pStyle w:val="Web"/>
              <w:shd w:val="clear" w:color="auto" w:fill="FFFFFF"/>
              <w:spacing w:before="0" w:beforeAutospacing="0" w:after="0" w:afterAutospacing="0" w:line="500" w:lineRule="exact"/>
              <w:ind w:firstLineChars="206" w:firstLine="742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施工單位指出，○機場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WC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滑行道遷建及雙線化工程施工前，必須先將下方管線遷移到他處，但因遷移位置已有其他管線，工程單位得將地基挖得更深，才能順利讓管線從下方接通；檢警調查，工地地基開挖較深，但邊坡防護似乎不足，加上前幾天大雨導致土石鬆軟，恐是釀禍的主因，將朝邊坡防護措施是否完備、有無確實施作擋土牆等方向偵辦，包商是根本沒施作，抑或是有做但未落實，已調閱設計圖、施工圖、開挖面積等資料進行比對，並帶回包商監工、現場工人共</w:t>
            </w:r>
            <w:r w:rsidRPr="009B44CD">
              <w:rPr>
                <w:rFonts w:ascii="標楷體" w:eastAsia="標楷體" w:hAnsi="標楷體" w:cs="細明體"/>
                <w:sz w:val="36"/>
                <w:szCs w:val="36"/>
              </w:rPr>
              <w:t>7</w:t>
            </w:r>
            <w:r w:rsidRPr="009B44CD">
              <w:rPr>
                <w:rFonts w:ascii="標楷體" w:eastAsia="標楷體" w:hAnsi="標楷體" w:cs="細明體" w:hint="eastAsia"/>
                <w:sz w:val="36"/>
                <w:szCs w:val="36"/>
              </w:rPr>
              <w:t>人偵訊，釐清意外發生主因並追究業務過失致死責任。</w:t>
            </w:r>
          </w:p>
        </w:tc>
      </w:tr>
      <w:tr w:rsidR="009B44CD" w:rsidRPr="009B44CD" w14:paraId="57E515CA" w14:textId="77777777" w:rsidTr="00EE6044">
        <w:trPr>
          <w:trHeight w:val="1833"/>
        </w:trPr>
        <w:tc>
          <w:tcPr>
            <w:tcW w:w="756" w:type="dxa"/>
          </w:tcPr>
          <w:p w14:paraId="4DB5A7C6" w14:textId="77777777" w:rsidR="004913F3" w:rsidRPr="009B44CD" w:rsidRDefault="004913F3" w:rsidP="00EE6044">
            <w:pPr>
              <w:jc w:val="center"/>
              <w:rPr>
                <w:rFonts w:ascii="標楷體" w:eastAsia="標楷體" w:hAnsi="標楷體" w:cs="細明體"/>
                <w:b/>
                <w:kern w:val="0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lastRenderedPageBreak/>
              <w:t>問題與風險</w:t>
            </w:r>
          </w:p>
        </w:tc>
        <w:tc>
          <w:tcPr>
            <w:tcW w:w="8459" w:type="dxa"/>
          </w:tcPr>
          <w:p w14:paraId="4CF22455" w14:textId="77777777" w:rsidR="00DF5137" w:rsidRPr="009B44CD" w:rsidRDefault="004913F3" w:rsidP="009A40C5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上開工程施作過程，疑似施工廠商因減省假設工程契約變更簽辦，缺乏擋土設施，以致土石坍踏造成工安意外。本案行為恐涉及刑法偽造文書罪、業務過失致死罪。</w:t>
            </w:r>
          </w:p>
          <w:p w14:paraId="00689CB6" w14:textId="77777777" w:rsidR="004913F3" w:rsidRPr="009B44CD" w:rsidRDefault="004913F3" w:rsidP="009A40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機關對於施工廠商假設工程查核重點為何</w:t>
            </w:r>
            <w:r w:rsidRPr="009B44CD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?</w:t>
            </w: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如何透過體制防止類似事件發生？</w:t>
            </w:r>
          </w:p>
          <w:p w14:paraId="48509EB3" w14:textId="77777777" w:rsidR="00DF5137" w:rsidRPr="009B44CD" w:rsidRDefault="00254B40" w:rsidP="009A40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現行公所實務辦理</w:t>
            </w:r>
            <w:r w:rsidR="00DF5137"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設計監造</w:t>
            </w: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採購，</w:t>
            </w:r>
            <w:r w:rsidR="00DF5137"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計價</w:t>
            </w: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多以建造百分比法計費</w:t>
            </w:r>
            <w:r w:rsidR="00DF5137"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</w:t>
            </w: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部分複雜案件似</w:t>
            </w:r>
            <w:r w:rsidR="00DF5137"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無</w:t>
            </w: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法</w:t>
            </w:r>
            <w:r w:rsidR="009B44CD"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完全</w:t>
            </w:r>
            <w:r w:rsidR="00DF5137"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對應</w:t>
            </w: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監造設計廠商</w:t>
            </w:r>
            <w:r w:rsidR="00DF5137"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成本</w:t>
            </w:r>
            <w:r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，為使廠商得到合理利潤，有無改善建議方式</w:t>
            </w:r>
            <w:r w:rsidR="006A77AA" w:rsidRPr="009B44CD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？</w:t>
            </w:r>
          </w:p>
        </w:tc>
      </w:tr>
      <w:tr w:rsidR="009B44CD" w:rsidRPr="009B44CD" w14:paraId="1E026C3A" w14:textId="77777777" w:rsidTr="00EE6044">
        <w:tc>
          <w:tcPr>
            <w:tcW w:w="756" w:type="dxa"/>
          </w:tcPr>
          <w:p w14:paraId="0A81C9AB" w14:textId="77777777" w:rsidR="004913F3" w:rsidRPr="009B44CD" w:rsidRDefault="004913F3" w:rsidP="00EE6044">
            <w:pPr>
              <w:jc w:val="center"/>
              <w:rPr>
                <w:rFonts w:ascii="標楷體" w:eastAsia="標楷體" w:hAnsi="標楷體"/>
                <w:b/>
              </w:rPr>
            </w:pPr>
            <w:r w:rsidRPr="009B44CD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因應之道</w:t>
            </w:r>
          </w:p>
        </w:tc>
        <w:tc>
          <w:tcPr>
            <w:tcW w:w="8459" w:type="dxa"/>
          </w:tcPr>
          <w:p w14:paraId="62A1B948" w14:textId="77777777" w:rsidR="005B794D" w:rsidRPr="005B794D" w:rsidRDefault="005B794D" w:rsidP="005B794D">
            <w:pPr>
              <w:widowControl/>
              <w:autoSpaceDE w:val="0"/>
              <w:autoSpaceDN w:val="0"/>
              <w:adjustRightInd w:val="0"/>
              <w:spacing w:line="500" w:lineRule="exact"/>
              <w:ind w:left="288" w:hangingChars="80" w:hanging="288"/>
              <w:jc w:val="both"/>
              <w:rPr>
                <w:rFonts w:ascii="標楷體" w:eastAsia="標楷體" w:hAnsi="標楷體" w:cs="細明體"/>
                <w:b/>
                <w:kern w:val="0"/>
                <w:sz w:val="36"/>
                <w:szCs w:val="36"/>
              </w:rPr>
            </w:pPr>
            <w:r w:rsidRPr="005B794D">
              <w:rPr>
                <w:rFonts w:ascii="標楷體" w:eastAsia="標楷體" w:hAnsi="標楷體" w:cs="細明體" w:hint="eastAsia"/>
                <w:b/>
                <w:kern w:val="0"/>
                <w:sz w:val="36"/>
                <w:szCs w:val="36"/>
              </w:rPr>
              <w:t>戴組長岳志：</w:t>
            </w:r>
          </w:p>
          <w:p w14:paraId="41998D99" w14:textId="4927C512" w:rsidR="00496C15" w:rsidRDefault="00E420DC" w:rsidP="00496C15">
            <w:pPr>
              <w:pStyle w:val="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500" w:lineRule="exact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192D7B">
              <w:rPr>
                <w:rFonts w:ascii="標楷體" w:eastAsia="標楷體" w:hAnsi="標楷體" w:cs="細明體" w:hint="eastAsia"/>
                <w:sz w:val="36"/>
                <w:szCs w:val="36"/>
              </w:rPr>
              <w:t>監造計畫、品質計畫各工項施工程序（流程圖）應依據勞動部訂頒「加強公共工程職業安全衛生管理作業要點」、工程會</w:t>
            </w:r>
            <w:r w:rsidRPr="00192D7B">
              <w:rPr>
                <w:rFonts w:ascii="標楷體" w:eastAsia="標楷體" w:hAnsi="標楷體" w:cs="細明體"/>
                <w:sz w:val="36"/>
                <w:szCs w:val="36"/>
              </w:rPr>
              <w:t>95.9.28</w:t>
            </w:r>
            <w:r w:rsidRPr="00192D7B">
              <w:rPr>
                <w:rFonts w:ascii="標楷體" w:eastAsia="標楷體" w:hAnsi="標楷體" w:cs="細明體" w:hint="eastAsia"/>
                <w:sz w:val="36"/>
                <w:szCs w:val="36"/>
              </w:rPr>
              <w:t>工程管字第</w:t>
            </w:r>
            <w:r w:rsidRPr="00192D7B">
              <w:rPr>
                <w:rFonts w:ascii="標楷體" w:eastAsia="標楷體" w:hAnsi="標楷體" w:cs="細明體"/>
                <w:sz w:val="36"/>
                <w:szCs w:val="36"/>
              </w:rPr>
              <w:t>09500376750</w:t>
            </w:r>
            <w:r w:rsidRPr="00192D7B">
              <w:rPr>
                <w:rFonts w:ascii="標楷體" w:eastAsia="標楷體" w:hAnsi="標楷體" w:cs="細明體" w:hint="eastAsia"/>
                <w:sz w:val="36"/>
                <w:szCs w:val="36"/>
              </w:rPr>
              <w:t>號函與</w:t>
            </w:r>
            <w:r w:rsidRPr="00192D7B">
              <w:rPr>
                <w:rFonts w:ascii="標楷體" w:eastAsia="標楷體" w:hAnsi="標楷體" w:cs="細明體"/>
                <w:sz w:val="36"/>
                <w:szCs w:val="36"/>
              </w:rPr>
              <w:t>108.1.14</w:t>
            </w:r>
            <w:r w:rsidRPr="00192D7B">
              <w:rPr>
                <w:rFonts w:ascii="標楷體" w:eastAsia="標楷體" w:hAnsi="標楷體" w:cs="細明體" w:hint="eastAsia"/>
                <w:sz w:val="36"/>
                <w:szCs w:val="36"/>
              </w:rPr>
              <w:t>工程管字第</w:t>
            </w:r>
            <w:r w:rsidRPr="00192D7B">
              <w:rPr>
                <w:rFonts w:ascii="標楷體" w:eastAsia="標楷體" w:hAnsi="標楷體" w:cs="細明體"/>
                <w:sz w:val="36"/>
                <w:szCs w:val="36"/>
              </w:rPr>
              <w:t>1070054099</w:t>
            </w:r>
            <w:r w:rsidRPr="00192D7B">
              <w:rPr>
                <w:rFonts w:ascii="標楷體" w:eastAsia="標楷體" w:hAnsi="標楷體" w:cs="細明體" w:hint="eastAsia"/>
                <w:sz w:val="36"/>
                <w:szCs w:val="36"/>
              </w:rPr>
              <w:t>號函規定</w:t>
            </w:r>
            <w:r w:rsidR="00787341">
              <w:rPr>
                <w:rFonts w:ascii="標楷體" w:eastAsia="標楷體" w:hAnsi="標楷體" w:cs="細明體" w:hint="eastAsia"/>
                <w:sz w:val="36"/>
                <w:szCs w:val="36"/>
              </w:rPr>
              <w:t>（</w:t>
            </w:r>
            <w:r w:rsidR="00787341" w:rsidRPr="00787341">
              <w:rPr>
                <w:rFonts w:ascii="標楷體" w:eastAsia="標楷體" w:hAnsi="標楷體" w:cs="細明體" w:hint="eastAsia"/>
                <w:sz w:val="36"/>
                <w:szCs w:val="36"/>
              </w:rPr>
              <w:t>於規劃設計階段即應訂定各項安全衛生管理事項，並納入契約，且核實編列所需安全衛生費用，由源頭即開始管控安全衛生執行事項）</w:t>
            </w:r>
            <w:r w:rsidRPr="00192D7B">
              <w:rPr>
                <w:rFonts w:ascii="標楷體" w:eastAsia="標楷體" w:hAnsi="標楷體" w:cs="細明體" w:hint="eastAsia"/>
                <w:sz w:val="36"/>
                <w:szCs w:val="36"/>
              </w:rPr>
              <w:t>訂定檢驗停留點、安全衛生查驗點，並</w:t>
            </w:r>
            <w:r w:rsidR="00192D7B" w:rsidRPr="00192D7B">
              <w:rPr>
                <w:rFonts w:ascii="標楷體" w:eastAsia="標楷體" w:hAnsi="標楷體" w:cs="細明體" w:hint="eastAsia"/>
                <w:sz w:val="36"/>
                <w:szCs w:val="36"/>
              </w:rPr>
              <w:t>經監造單位</w:t>
            </w:r>
            <w:r w:rsidR="00192D7B" w:rsidRPr="00192D7B">
              <w:rPr>
                <w:rFonts w:ascii="標楷體" w:eastAsia="標楷體" w:hAnsi="標楷體" w:cs="細明體"/>
                <w:sz w:val="36"/>
                <w:szCs w:val="36"/>
              </w:rPr>
              <w:t>/工程司派員會同辦</w:t>
            </w:r>
            <w:r w:rsidR="00192D7B" w:rsidRPr="00192D7B">
              <w:rPr>
                <w:rFonts w:ascii="標楷體" w:eastAsia="標楷體" w:hAnsi="標楷體" w:cs="細明體" w:hint="eastAsia"/>
                <w:sz w:val="36"/>
                <w:szCs w:val="36"/>
              </w:rPr>
              <w:t>理施工抽查及材料抽驗合格後，方得繼續下一階段施工，並作為估驗計價之付款依據</w:t>
            </w:r>
            <w:r w:rsidR="00496C15">
              <w:rPr>
                <w:rFonts w:ascii="標楷體" w:eastAsia="標楷體" w:hAnsi="標楷體" w:cs="細明體" w:hint="eastAsia"/>
                <w:sz w:val="36"/>
                <w:szCs w:val="36"/>
              </w:rPr>
              <w:t>。</w:t>
            </w:r>
          </w:p>
          <w:p w14:paraId="4541740D" w14:textId="76166476" w:rsidR="00496C15" w:rsidRDefault="00AB2338" w:rsidP="009A40C5">
            <w:pPr>
              <w:pStyle w:val="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500" w:lineRule="exact"/>
              <w:ind w:left="288" w:hangingChars="80" w:hanging="288"/>
              <w:jc w:val="both"/>
              <w:textAlignment w:val="baseline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依規定路幅（或結構物）開挖</w:t>
            </w:r>
            <w:r w:rsidR="00AD46DE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逾</w:t>
            </w:r>
            <w:r w:rsidR="00AD46DE" w:rsidRPr="00496C15">
              <w:rPr>
                <w:rFonts w:ascii="標楷體" w:eastAsia="標楷體" w:hAnsi="標楷體" w:cs="細明體"/>
                <w:sz w:val="36"/>
                <w:szCs w:val="36"/>
              </w:rPr>
              <w:t>1.5</w:t>
            </w:r>
            <w:r w:rsidR="00AD46DE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公尺或有地面崩塌、土石飛落之虞時，應設擋土支撐</w:t>
            </w:r>
            <w:r w:rsidR="005219A5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（</w:t>
            </w:r>
            <w:r w:rsidR="00AE366E">
              <w:rPr>
                <w:rFonts w:ascii="標楷體" w:eastAsia="標楷體" w:hAnsi="標楷體" w:cs="細明體" w:hint="eastAsia"/>
                <w:sz w:val="36"/>
                <w:szCs w:val="36"/>
              </w:rPr>
              <w:t>於計畫書</w:t>
            </w:r>
            <w:r w:rsidR="005219A5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施工流程圖</w:t>
            </w:r>
            <w:r w:rsidR="00AE366E">
              <w:rPr>
                <w:rFonts w:ascii="標楷體" w:eastAsia="標楷體" w:hAnsi="標楷體" w:cs="細明體" w:hint="eastAsia"/>
                <w:sz w:val="36"/>
                <w:szCs w:val="36"/>
              </w:rPr>
              <w:t>明訂為</w:t>
            </w:r>
            <w:r w:rsidR="005219A5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安衛查驗點，</w:t>
            </w:r>
            <w:r w:rsidR="00AE366E">
              <w:rPr>
                <w:rFonts w:ascii="標楷體" w:eastAsia="標楷體" w:hAnsi="標楷體" w:cs="細明體" w:hint="eastAsia"/>
                <w:sz w:val="36"/>
                <w:szCs w:val="36"/>
              </w:rPr>
              <w:t>施工時</w:t>
            </w:r>
            <w:r w:rsidR="004448C6">
              <w:rPr>
                <w:rFonts w:ascii="標楷體" w:eastAsia="標楷體" w:hAnsi="標楷體" w:cs="細明體" w:hint="eastAsia"/>
                <w:sz w:val="36"/>
                <w:szCs w:val="36"/>
              </w:rPr>
              <w:t>廠商</w:t>
            </w:r>
            <w:r w:rsidR="005219A5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俟擋土支撐</w:t>
            </w:r>
            <w:r w:rsidR="00876748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施設完成經</w:t>
            </w:r>
            <w:r w:rsidR="004448C6">
              <w:rPr>
                <w:rFonts w:ascii="標楷體" w:eastAsia="標楷體" w:hAnsi="標楷體" w:cs="細明體" w:hint="eastAsia"/>
                <w:sz w:val="36"/>
                <w:szCs w:val="36"/>
              </w:rPr>
              <w:t>依核定之施工自主檢查表檢查合格，品管人員稽核無誤後書面申請、</w:t>
            </w:r>
            <w:r w:rsidR="00876748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監造單位</w:t>
            </w:r>
            <w:r w:rsidR="00876748" w:rsidRPr="00496C15">
              <w:rPr>
                <w:rFonts w:ascii="標楷體" w:eastAsia="標楷體" w:hAnsi="標楷體" w:cs="細明體"/>
                <w:sz w:val="36"/>
                <w:szCs w:val="36"/>
              </w:rPr>
              <w:t>/工程</w:t>
            </w:r>
            <w:r w:rsidR="00876748" w:rsidRPr="00496C15">
              <w:rPr>
                <w:rFonts w:ascii="標楷體" w:eastAsia="標楷體" w:hAnsi="標楷體" w:cs="細明體"/>
                <w:sz w:val="36"/>
                <w:szCs w:val="36"/>
              </w:rPr>
              <w:lastRenderedPageBreak/>
              <w:t>司派員會同辦</w:t>
            </w:r>
            <w:r w:rsidR="00876748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理施工抽查合格後，方得繼續下一階段施工</w:t>
            </w:r>
            <w:r w:rsidR="005219A5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）</w:t>
            </w:r>
            <w:r w:rsidR="00AD46DE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，上舉案例開挖逾</w:t>
            </w:r>
            <w:r w:rsidR="005219A5" w:rsidRPr="00496C15">
              <w:rPr>
                <w:rFonts w:ascii="標楷體" w:eastAsia="標楷體" w:hAnsi="標楷體" w:cs="細明體"/>
                <w:sz w:val="36"/>
                <w:szCs w:val="36"/>
              </w:rPr>
              <w:t>4</w:t>
            </w:r>
            <w:r w:rsidR="00AD46DE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公尺</w:t>
            </w:r>
            <w:r w:rsidR="00AE366E">
              <w:rPr>
                <w:rFonts w:ascii="標楷體" w:eastAsia="標楷體" w:hAnsi="標楷體" w:cs="細明體" w:hint="eastAsia"/>
                <w:sz w:val="36"/>
                <w:szCs w:val="36"/>
              </w:rPr>
              <w:t>竟</w:t>
            </w:r>
            <w:r w:rsidR="00876748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未</w:t>
            </w:r>
            <w:r w:rsidR="005219A5" w:rsidRPr="00496C15">
              <w:rPr>
                <w:rFonts w:ascii="標楷體" w:eastAsia="標楷體" w:hAnsi="標楷體" w:cs="細明體" w:hint="eastAsia"/>
                <w:sz w:val="36"/>
                <w:szCs w:val="36"/>
              </w:rPr>
              <w:t>設擋土支撐，顯與規定不符。</w:t>
            </w:r>
          </w:p>
          <w:p w14:paraId="3C5EDAF3" w14:textId="3890FD26" w:rsidR="004913F3" w:rsidRPr="009B44CD" w:rsidRDefault="003B1616" w:rsidP="0029141B">
            <w:pPr>
              <w:pStyle w:val="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500" w:lineRule="exact"/>
              <w:ind w:left="288" w:hangingChars="80" w:hanging="288"/>
              <w:jc w:val="both"/>
              <w:textAlignment w:val="baseline"/>
              <w:rPr>
                <w:rFonts w:hAnsi="標楷體" w:cs="細明體"/>
                <w:sz w:val="36"/>
                <w:szCs w:val="36"/>
              </w:rPr>
            </w:pPr>
            <w:r w:rsidRPr="0029141B">
              <w:rPr>
                <w:rFonts w:ascii="標楷體" w:eastAsia="標楷體" w:hAnsi="標楷體" w:cs="細明體" w:hint="eastAsia"/>
                <w:sz w:val="36"/>
                <w:szCs w:val="36"/>
              </w:rPr>
              <w:t>機關委託廠商辦理技術服務，可採「</w:t>
            </w:r>
            <w:r w:rsidR="009130D3" w:rsidRPr="0029141B">
              <w:rPr>
                <w:rFonts w:ascii="標楷體" w:eastAsia="標楷體" w:hAnsi="標楷體" w:cs="細明體" w:hint="eastAsia"/>
                <w:sz w:val="36"/>
                <w:szCs w:val="36"/>
              </w:rPr>
              <w:t>機關委託技術服務廠商評選及計費辦法</w:t>
            </w:r>
            <w:r w:rsidR="00CD5B3D" w:rsidRPr="0029141B">
              <w:rPr>
                <w:rFonts w:ascii="標楷體" w:eastAsia="標楷體" w:hAnsi="標楷體" w:cs="細明體" w:hint="eastAsia"/>
                <w:sz w:val="36"/>
                <w:szCs w:val="36"/>
              </w:rPr>
              <w:t>」</w:t>
            </w:r>
            <w:r w:rsidR="009130D3" w:rsidRPr="0029141B">
              <w:rPr>
                <w:rFonts w:ascii="標楷體" w:eastAsia="標楷體" w:hAnsi="標楷體" w:cs="細明體" w:hint="eastAsia"/>
                <w:sz w:val="36"/>
                <w:szCs w:val="36"/>
              </w:rPr>
              <w:t>第25條</w:t>
            </w:r>
            <w:r w:rsidR="00700316" w:rsidRPr="0029141B">
              <w:rPr>
                <w:rFonts w:ascii="標楷體" w:eastAsia="標楷體" w:hAnsi="標楷體" w:cs="細明體" w:hint="eastAsia"/>
                <w:sz w:val="36"/>
                <w:szCs w:val="36"/>
              </w:rPr>
              <w:t>、第26條或</w:t>
            </w:r>
            <w:r w:rsidRPr="0029141B">
              <w:rPr>
                <w:rFonts w:ascii="標楷體" w:eastAsia="標楷體" w:hAnsi="標楷體" w:cs="細明體" w:hint="eastAsia"/>
                <w:sz w:val="36"/>
                <w:szCs w:val="36"/>
              </w:rPr>
              <w:t>第29條</w:t>
            </w:r>
            <w:r w:rsidR="00496C15" w:rsidRPr="0029141B">
              <w:rPr>
                <w:rFonts w:ascii="標楷體" w:eastAsia="標楷體" w:hAnsi="標楷體" w:cs="細明體" w:hint="eastAsia"/>
                <w:sz w:val="36"/>
                <w:szCs w:val="36"/>
              </w:rPr>
              <w:t>等相關</w:t>
            </w:r>
            <w:r w:rsidR="00CD5B3D" w:rsidRPr="0029141B">
              <w:rPr>
                <w:rFonts w:ascii="標楷體" w:eastAsia="標楷體" w:hAnsi="標楷體" w:cs="細明體" w:hint="eastAsia"/>
                <w:sz w:val="36"/>
                <w:szCs w:val="36"/>
              </w:rPr>
              <w:t>規定為之。</w:t>
            </w:r>
          </w:p>
        </w:tc>
      </w:tr>
    </w:tbl>
    <w:p w14:paraId="5DFEBFA4" w14:textId="77777777" w:rsidR="004913F3" w:rsidRPr="009B44CD" w:rsidRDefault="004913F3">
      <w:pPr>
        <w:rPr>
          <w:rFonts w:ascii="標楷體" w:eastAsia="標楷體" w:hAnsi="標楷體"/>
        </w:rPr>
      </w:pPr>
    </w:p>
    <w:p w14:paraId="110AD6DD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67E19F6B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55ADC27B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060AD722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68EBDCC9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3B81F605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03C7DFFB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25E86292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5F1A5254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0FD551CF" w14:textId="77777777" w:rsidR="004913F3" w:rsidRPr="009B44CD" w:rsidRDefault="004913F3" w:rsidP="008969E1">
      <w:pPr>
        <w:rPr>
          <w:rFonts w:ascii="標楷體" w:eastAsia="標楷體" w:hAnsi="標楷體"/>
        </w:rPr>
      </w:pPr>
    </w:p>
    <w:p w14:paraId="05B03E41" w14:textId="77777777" w:rsidR="004913F3" w:rsidRPr="009B44CD" w:rsidRDefault="004913F3" w:rsidP="008969E1">
      <w:pPr>
        <w:ind w:firstLineChars="200" w:firstLine="480"/>
        <w:rPr>
          <w:rFonts w:ascii="標楷體" w:eastAsia="標楷體" w:hAnsi="標楷體"/>
        </w:rPr>
      </w:pPr>
    </w:p>
    <w:p w14:paraId="5551051A" w14:textId="77777777" w:rsidR="004913F3" w:rsidRPr="009B44CD" w:rsidRDefault="004913F3" w:rsidP="008969E1">
      <w:pPr>
        <w:ind w:firstLineChars="200" w:firstLine="480"/>
        <w:rPr>
          <w:rFonts w:ascii="標楷體" w:eastAsia="標楷體" w:hAnsi="標楷體"/>
        </w:rPr>
      </w:pPr>
    </w:p>
    <w:sectPr w:rsidR="004913F3" w:rsidRPr="009B44CD" w:rsidSect="00216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CFC98" w14:textId="77777777" w:rsidR="00B51D2F" w:rsidRDefault="00B51D2F" w:rsidP="00285635">
      <w:r>
        <w:separator/>
      </w:r>
    </w:p>
  </w:endnote>
  <w:endnote w:type="continuationSeparator" w:id="0">
    <w:p w14:paraId="02D0A03A" w14:textId="77777777" w:rsidR="00B51D2F" w:rsidRDefault="00B51D2F" w:rsidP="0028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CA3B7" w14:textId="77777777" w:rsidR="00B51D2F" w:rsidRDefault="00B51D2F" w:rsidP="00285635">
      <w:r>
        <w:separator/>
      </w:r>
    </w:p>
  </w:footnote>
  <w:footnote w:type="continuationSeparator" w:id="0">
    <w:p w14:paraId="39ED9B48" w14:textId="77777777" w:rsidR="00B51D2F" w:rsidRDefault="00B51D2F" w:rsidP="0028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4334"/>
    <w:multiLevelType w:val="hybridMultilevel"/>
    <w:tmpl w:val="EFD6A1B6"/>
    <w:lvl w:ilvl="0" w:tplc="8A9CEBC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2001D7"/>
    <w:multiLevelType w:val="hybridMultilevel"/>
    <w:tmpl w:val="7EE81466"/>
    <w:lvl w:ilvl="0" w:tplc="8A9CEBC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13C281BC">
      <w:start w:val="1"/>
      <w:numFmt w:val="decim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431948"/>
    <w:multiLevelType w:val="hybridMultilevel"/>
    <w:tmpl w:val="C694BA16"/>
    <w:lvl w:ilvl="0" w:tplc="B744538E">
      <w:start w:val="1"/>
      <w:numFmt w:val="decimal"/>
      <w:lvlText w:val="%1、"/>
      <w:lvlJc w:val="left"/>
      <w:pPr>
        <w:ind w:left="145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3">
    <w:nsid w:val="174C724D"/>
    <w:multiLevelType w:val="hybridMultilevel"/>
    <w:tmpl w:val="1EB2E602"/>
    <w:lvl w:ilvl="0" w:tplc="C1FA458A">
      <w:start w:val="1"/>
      <w:numFmt w:val="taiwaneseCountingThousand"/>
      <w:lvlText w:val="(%1)"/>
      <w:lvlJc w:val="left"/>
      <w:pPr>
        <w:ind w:left="90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C60EF6"/>
    <w:multiLevelType w:val="hybridMultilevel"/>
    <w:tmpl w:val="C694BA16"/>
    <w:lvl w:ilvl="0" w:tplc="B744538E">
      <w:start w:val="1"/>
      <w:numFmt w:val="decimal"/>
      <w:lvlText w:val="%1、"/>
      <w:lvlJc w:val="left"/>
      <w:pPr>
        <w:ind w:left="145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5">
    <w:nsid w:val="20C905FC"/>
    <w:multiLevelType w:val="hybridMultilevel"/>
    <w:tmpl w:val="3A068B70"/>
    <w:lvl w:ilvl="0" w:tplc="AED25272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23650A96"/>
    <w:multiLevelType w:val="hybridMultilevel"/>
    <w:tmpl w:val="73809732"/>
    <w:lvl w:ilvl="0" w:tplc="AED25272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2C4E5A00"/>
    <w:multiLevelType w:val="hybridMultilevel"/>
    <w:tmpl w:val="EFD6A1B6"/>
    <w:lvl w:ilvl="0" w:tplc="8A9CEBC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D710D12"/>
    <w:multiLevelType w:val="hybridMultilevel"/>
    <w:tmpl w:val="1428A310"/>
    <w:lvl w:ilvl="0" w:tplc="92068BC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9E419A4"/>
    <w:multiLevelType w:val="hybridMultilevel"/>
    <w:tmpl w:val="1E865090"/>
    <w:lvl w:ilvl="0" w:tplc="601C7CE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3CA6F93"/>
    <w:multiLevelType w:val="hybridMultilevel"/>
    <w:tmpl w:val="73809732"/>
    <w:lvl w:ilvl="0" w:tplc="AED25272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4A1C5CC3"/>
    <w:multiLevelType w:val="hybridMultilevel"/>
    <w:tmpl w:val="1EB2E602"/>
    <w:lvl w:ilvl="0" w:tplc="C1FA458A">
      <w:start w:val="1"/>
      <w:numFmt w:val="taiwaneseCountingThousand"/>
      <w:lvlText w:val="(%1)"/>
      <w:lvlJc w:val="left"/>
      <w:pPr>
        <w:ind w:left="90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5E44579"/>
    <w:multiLevelType w:val="hybridMultilevel"/>
    <w:tmpl w:val="AA364BA8"/>
    <w:lvl w:ilvl="0" w:tplc="8110B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693F65"/>
    <w:multiLevelType w:val="hybridMultilevel"/>
    <w:tmpl w:val="A9385F50"/>
    <w:lvl w:ilvl="0" w:tplc="CFF4525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A546349"/>
    <w:multiLevelType w:val="hybridMultilevel"/>
    <w:tmpl w:val="CC4E4650"/>
    <w:lvl w:ilvl="0" w:tplc="F40E6A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17286A"/>
    <w:multiLevelType w:val="hybridMultilevel"/>
    <w:tmpl w:val="C42C43F2"/>
    <w:lvl w:ilvl="0" w:tplc="8A9CEBC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2F3C7524">
      <w:start w:val="1"/>
      <w:numFmt w:val="decim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C710010"/>
    <w:multiLevelType w:val="hybridMultilevel"/>
    <w:tmpl w:val="73809732"/>
    <w:lvl w:ilvl="0" w:tplc="AED25272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76D06E30"/>
    <w:multiLevelType w:val="hybridMultilevel"/>
    <w:tmpl w:val="0C0204C8"/>
    <w:lvl w:ilvl="0" w:tplc="14CC2EA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C687AC2"/>
    <w:multiLevelType w:val="hybridMultilevel"/>
    <w:tmpl w:val="1EB2E602"/>
    <w:lvl w:ilvl="0" w:tplc="C1FA458A">
      <w:start w:val="1"/>
      <w:numFmt w:val="taiwaneseCountingThousand"/>
      <w:lvlText w:val="(%1)"/>
      <w:lvlJc w:val="left"/>
      <w:pPr>
        <w:ind w:left="90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9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D8"/>
    <w:rsid w:val="00025096"/>
    <w:rsid w:val="00036C3B"/>
    <w:rsid w:val="00062F00"/>
    <w:rsid w:val="000B557E"/>
    <w:rsid w:val="00100AD5"/>
    <w:rsid w:val="0014317F"/>
    <w:rsid w:val="00143FB3"/>
    <w:rsid w:val="00173D61"/>
    <w:rsid w:val="001840BF"/>
    <w:rsid w:val="00185F06"/>
    <w:rsid w:val="00192D7B"/>
    <w:rsid w:val="00194295"/>
    <w:rsid w:val="002163A4"/>
    <w:rsid w:val="0022405C"/>
    <w:rsid w:val="002269CE"/>
    <w:rsid w:val="002311E8"/>
    <w:rsid w:val="00236449"/>
    <w:rsid w:val="0025008A"/>
    <w:rsid w:val="00254B40"/>
    <w:rsid w:val="002652D3"/>
    <w:rsid w:val="0028423F"/>
    <w:rsid w:val="00284B24"/>
    <w:rsid w:val="00285635"/>
    <w:rsid w:val="0029141B"/>
    <w:rsid w:val="002D295F"/>
    <w:rsid w:val="00312372"/>
    <w:rsid w:val="00322D47"/>
    <w:rsid w:val="00343AE5"/>
    <w:rsid w:val="00351931"/>
    <w:rsid w:val="003618B3"/>
    <w:rsid w:val="003743EA"/>
    <w:rsid w:val="00376590"/>
    <w:rsid w:val="00376CD8"/>
    <w:rsid w:val="003B1616"/>
    <w:rsid w:val="003B76E5"/>
    <w:rsid w:val="003C7129"/>
    <w:rsid w:val="003D1C88"/>
    <w:rsid w:val="003E5AB5"/>
    <w:rsid w:val="00417A52"/>
    <w:rsid w:val="0042402B"/>
    <w:rsid w:val="004448C6"/>
    <w:rsid w:val="0045122B"/>
    <w:rsid w:val="00464E04"/>
    <w:rsid w:val="004819A3"/>
    <w:rsid w:val="004913F3"/>
    <w:rsid w:val="00496C15"/>
    <w:rsid w:val="004A08B9"/>
    <w:rsid w:val="004E20A1"/>
    <w:rsid w:val="005219A5"/>
    <w:rsid w:val="00564274"/>
    <w:rsid w:val="0057751E"/>
    <w:rsid w:val="00581D5C"/>
    <w:rsid w:val="0058703A"/>
    <w:rsid w:val="005A1468"/>
    <w:rsid w:val="005B794D"/>
    <w:rsid w:val="005D765C"/>
    <w:rsid w:val="005F414B"/>
    <w:rsid w:val="00606060"/>
    <w:rsid w:val="00646809"/>
    <w:rsid w:val="00654FD0"/>
    <w:rsid w:val="00692DE1"/>
    <w:rsid w:val="006960D9"/>
    <w:rsid w:val="006A77AA"/>
    <w:rsid w:val="006B0919"/>
    <w:rsid w:val="006D6683"/>
    <w:rsid w:val="00700316"/>
    <w:rsid w:val="00714D94"/>
    <w:rsid w:val="00740F7E"/>
    <w:rsid w:val="0078435B"/>
    <w:rsid w:val="00787341"/>
    <w:rsid w:val="007F3090"/>
    <w:rsid w:val="007F3C6C"/>
    <w:rsid w:val="007F55DE"/>
    <w:rsid w:val="00860E85"/>
    <w:rsid w:val="00876748"/>
    <w:rsid w:val="00877477"/>
    <w:rsid w:val="008969E1"/>
    <w:rsid w:val="008D728B"/>
    <w:rsid w:val="008E4F28"/>
    <w:rsid w:val="009130D3"/>
    <w:rsid w:val="00971D69"/>
    <w:rsid w:val="009962BB"/>
    <w:rsid w:val="009A40C5"/>
    <w:rsid w:val="009B44CD"/>
    <w:rsid w:val="009C57E1"/>
    <w:rsid w:val="009D1D06"/>
    <w:rsid w:val="009E500D"/>
    <w:rsid w:val="00A00B05"/>
    <w:rsid w:val="00A012A3"/>
    <w:rsid w:val="00A15648"/>
    <w:rsid w:val="00A328AF"/>
    <w:rsid w:val="00A60259"/>
    <w:rsid w:val="00A859D6"/>
    <w:rsid w:val="00A915BF"/>
    <w:rsid w:val="00A9603B"/>
    <w:rsid w:val="00AA02FE"/>
    <w:rsid w:val="00AB074A"/>
    <w:rsid w:val="00AB2338"/>
    <w:rsid w:val="00AD3AB9"/>
    <w:rsid w:val="00AD46DE"/>
    <w:rsid w:val="00AE366E"/>
    <w:rsid w:val="00B049A1"/>
    <w:rsid w:val="00B122D4"/>
    <w:rsid w:val="00B20DA0"/>
    <w:rsid w:val="00B32C0B"/>
    <w:rsid w:val="00B51D2F"/>
    <w:rsid w:val="00B81A8D"/>
    <w:rsid w:val="00BC4022"/>
    <w:rsid w:val="00BD1322"/>
    <w:rsid w:val="00C415E3"/>
    <w:rsid w:val="00C4664A"/>
    <w:rsid w:val="00C91BC4"/>
    <w:rsid w:val="00C95129"/>
    <w:rsid w:val="00CD5B3D"/>
    <w:rsid w:val="00CD617A"/>
    <w:rsid w:val="00CD6928"/>
    <w:rsid w:val="00CF0EFB"/>
    <w:rsid w:val="00D17BA9"/>
    <w:rsid w:val="00D20B0A"/>
    <w:rsid w:val="00D410C9"/>
    <w:rsid w:val="00D709FF"/>
    <w:rsid w:val="00D877FD"/>
    <w:rsid w:val="00DA0839"/>
    <w:rsid w:val="00DB4741"/>
    <w:rsid w:val="00DF5137"/>
    <w:rsid w:val="00E420DC"/>
    <w:rsid w:val="00E51420"/>
    <w:rsid w:val="00E52932"/>
    <w:rsid w:val="00E75CBD"/>
    <w:rsid w:val="00EE171F"/>
    <w:rsid w:val="00EE3583"/>
    <w:rsid w:val="00EE6044"/>
    <w:rsid w:val="00F43D94"/>
    <w:rsid w:val="00F56BF9"/>
    <w:rsid w:val="00F75BF1"/>
    <w:rsid w:val="00F76BA2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B794B"/>
  <w15:docId w15:val="{A4FC3E65-4DEA-4EB1-AA9F-7941D6E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54F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E171F"/>
    <w:pPr>
      <w:ind w:leftChars="200" w:left="480"/>
    </w:pPr>
  </w:style>
  <w:style w:type="paragraph" w:styleId="a5">
    <w:name w:val="header"/>
    <w:basedOn w:val="a"/>
    <w:link w:val="a6"/>
    <w:uiPriority w:val="99"/>
    <w:rsid w:val="0028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28563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8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28563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962B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962BB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rsid w:val="008D72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109年度防貪指引暨私部門反貪研討議題</dc:title>
  <dc:subject/>
  <dc:creator>進旺 廖</dc:creator>
  <cp:keywords/>
  <dc:description/>
  <cp:lastModifiedBy>Windows 使用者</cp:lastModifiedBy>
  <cp:revision>4</cp:revision>
  <cp:lastPrinted>2019-01-25T00:19:00Z</cp:lastPrinted>
  <dcterms:created xsi:type="dcterms:W3CDTF">2020-08-19T00:36:00Z</dcterms:created>
  <dcterms:modified xsi:type="dcterms:W3CDTF">2020-08-21T00:40:00Z</dcterms:modified>
</cp:coreProperties>
</file>